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48D8" w14:textId="29132708" w:rsidR="00B123FF" w:rsidRPr="00455A3C" w:rsidRDefault="00A85DA3" w:rsidP="00F60A53">
      <w:pPr>
        <w:pStyle w:val="F2-zkladn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KOMENTÁŘ</w:t>
      </w:r>
    </w:p>
    <w:p w14:paraId="59F979EF" w14:textId="732EC1D7" w:rsidR="000A2833" w:rsidRPr="00455A3C" w:rsidRDefault="00E10832" w:rsidP="00F60A53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BB0B2BF" wp14:editId="24506624">
                <wp:extent cx="301625" cy="301625"/>
                <wp:effectExtent l="0" t="0" r="0" b="0"/>
                <wp:docPr id="2" name="AutoShape 2" descr="Fidelity International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A26E2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EC0D461" w14:textId="07A85D12" w:rsidR="000C727D" w:rsidRDefault="00E10832" w:rsidP="002027ED">
      <w:pPr>
        <w:pStyle w:val="F2-zkladn"/>
        <w:tabs>
          <w:tab w:val="right" w:pos="9070"/>
        </w:tabs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2B2374B7" wp14:editId="3B694499">
                <wp:extent cx="301625" cy="301625"/>
                <wp:effectExtent l="0" t="0" r="0" b="0"/>
                <wp:docPr id="1" name="AutoShape 5" descr="Fidelity International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E664B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</w:r>
      <w:r w:rsidR="00DE3946" w:rsidRPr="00893890">
        <w:t>Praha,</w:t>
      </w:r>
      <w:r w:rsidR="00883B41">
        <w:t xml:space="preserve"> </w:t>
      </w:r>
      <w:r w:rsidR="00CB6DEB">
        <w:t>1</w:t>
      </w:r>
      <w:r w:rsidR="00C5784C">
        <w:t>6</w:t>
      </w:r>
      <w:r w:rsidR="005420B4" w:rsidRPr="00893890">
        <w:t>.</w:t>
      </w:r>
      <w:r w:rsidR="00296EFF">
        <w:t xml:space="preserve"> </w:t>
      </w:r>
      <w:r w:rsidR="00C4206E">
        <w:t>ledna</w:t>
      </w:r>
      <w:r w:rsidR="00A30105" w:rsidRPr="00893890">
        <w:t xml:space="preserve"> 20</w:t>
      </w:r>
      <w:r w:rsidR="00A7414F" w:rsidRPr="00893890">
        <w:t>2</w:t>
      </w:r>
      <w:r w:rsidR="00CB6DEB">
        <w:t>4</w:t>
      </w:r>
    </w:p>
    <w:p w14:paraId="7EECF1EA" w14:textId="2B7450D3" w:rsidR="002027ED" w:rsidRPr="002027ED" w:rsidRDefault="002027ED" w:rsidP="002027ED">
      <w:pPr>
        <w:pStyle w:val="F2-zkladn"/>
        <w:tabs>
          <w:tab w:val="right" w:pos="9070"/>
        </w:tabs>
        <w:spacing w:line="276" w:lineRule="auto"/>
      </w:pPr>
    </w:p>
    <w:p w14:paraId="2E78882E" w14:textId="47B10E7F" w:rsidR="00E76BE0" w:rsidRPr="00725F39" w:rsidRDefault="00C4206E" w:rsidP="00725F3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Fidelity International: </w:t>
      </w:r>
      <w:r w:rsidR="00CB6DEB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cs-CZ"/>
        </w:rPr>
        <w:t>Výhled 2024</w:t>
      </w:r>
    </w:p>
    <w:p w14:paraId="77317E97" w14:textId="18D3BF93" w:rsidR="00CB6DEB" w:rsidRPr="006E78BA" w:rsidRDefault="00CB6DEB" w:rsidP="007E4CDB">
      <w:pPr>
        <w:spacing w:line="240" w:lineRule="auto"/>
        <w:rPr>
          <w:i/>
          <w:iCs/>
        </w:rPr>
      </w:pPr>
      <w:r w:rsidRPr="006E78BA">
        <w:rPr>
          <w:i/>
          <w:iCs/>
        </w:rPr>
        <w:t>Komentář Andrewa McCafferyho, globálního CIO společnosti Fidelity International</w:t>
      </w:r>
    </w:p>
    <w:p w14:paraId="53FBF2B2" w14:textId="44BB9207" w:rsidR="007E4CDB" w:rsidRPr="007E4CDB" w:rsidRDefault="00CB6DEB" w:rsidP="007E4CDB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Nikdy jsem nespravoval peníze tak, že bych přesně věděl, co se stane za 12 měsíců. Můžu mít osobní názor, ale dobré investování vyžaduje disciplínu, otevřenou mysl a připravenost reagovat na měnící se skutečnosti.</w:t>
      </w:r>
    </w:p>
    <w:p w14:paraId="49F30DC9" w14:textId="77777777" w:rsidR="00CB6DEB" w:rsidRDefault="00CB6DEB" w:rsidP="00CB6DEB">
      <w:pPr>
        <w:rPr>
          <w:bCs/>
        </w:rPr>
      </w:pPr>
      <w:r w:rsidRPr="00CB0176">
        <w:rPr>
          <w:bCs/>
        </w:rPr>
        <w:t>Porozumět velkým ekonomickým, sociálním nebo politickým změnám je často možné až ve fázi, kdy jsou již v plném proudu a kdy jsou pevně zakotveny nové trendy. Aktuálně se nacházíme v první fázi dramatické změny režimu – od nízké inflace a stále klesajících úrokových sazeb k něčemu jinému. Ono „něco jiného“ s sebou přinese větší ekonomickou volatilitu, riziková prémie za držbu aktiv proto bude vyšší. Očekáváme, že sazby budou mít tendenci růst a výnosy z akcií budou v jednotlivých zemích a regionech mnohem diferencovanější.</w:t>
      </w:r>
    </w:p>
    <w:p w14:paraId="41B1957A" w14:textId="77777777" w:rsidR="00CB6DEB" w:rsidRDefault="00CB6DEB" w:rsidP="00CB6DEB">
      <w:pPr>
        <w:rPr>
          <w:bCs/>
        </w:rPr>
      </w:pPr>
      <w:r w:rsidRPr="00CB0176">
        <w:rPr>
          <w:bCs/>
        </w:rPr>
        <w:t xml:space="preserve">V tomto prostředí považuji za užitečnější uvažovat o různých scénářích: směrech, kterými by se ekonomiky a trhy mohly ubírat. Spolu s kolegy jsme odhadli, jak pravděpodobné podle nás jednotlivé scénáře jsou, což nám umožňuje se připravit s předstihem a v průběhu vývoje si pak všímat signálů, které daný výsledek buď podporují, nebo vyvracejí, a podle toho se přizpůsobit. </w:t>
      </w:r>
    </w:p>
    <w:p w14:paraId="14785011" w14:textId="77777777" w:rsidR="00CB6DEB" w:rsidRPr="00CB0176" w:rsidRDefault="00CB6DEB" w:rsidP="00CB6DEB">
      <w:pPr>
        <w:rPr>
          <w:bCs/>
        </w:rPr>
      </w:pPr>
      <w:r w:rsidRPr="00CB0176">
        <w:rPr>
          <w:bCs/>
        </w:rPr>
        <w:t>V tomto výhledu pro rok 2024 uvádíme čtyři makroekonomické scénáře pro vyspělé trhy, které by podle našeho názoru měli mít investoři na paměti při vývoji v roce 2024. Naši investiční manažeři pak vysvětlují, co by každý z nich znamenal pro jejich třídu aktiv. Níže naleznete ten nepravděpodobnější.</w:t>
      </w:r>
    </w:p>
    <w:p w14:paraId="1D6EBCAF" w14:textId="77777777" w:rsidR="00CB6DEB" w:rsidRPr="00CB0176" w:rsidRDefault="00CB6DEB" w:rsidP="00CB6DEB">
      <w:pPr>
        <w:rPr>
          <w:bCs/>
        </w:rPr>
      </w:pPr>
      <w:r w:rsidRPr="00CB0176">
        <w:rPr>
          <w:bCs/>
        </w:rPr>
        <w:t>Rok 2024 bude opravdu zajímavý. Po celém světě proběhne výjimečná série voleb, a to na pozadí obnoveného zájmu o fiskální politiku. Snahou politiků je udržet vysoké rozpočtové deficity a různé formy vládních intervencí. Trhy ovšem začnou za tyto výdaje požadovat vyšší cenu. Značnou pozornost budeme také věnovat nákladům kapitálu, a to nejen u firem, ale také u států, přičemž zabývat se budeme nejen tím, co v krátkodobém horizontu způsobí úrokové náklady.</w:t>
      </w:r>
    </w:p>
    <w:p w14:paraId="3246DD11" w14:textId="77777777" w:rsidR="00CB6DEB" w:rsidRDefault="00CB6DEB" w:rsidP="00CB6DEB">
      <w:pPr>
        <w:rPr>
          <w:bCs/>
        </w:rPr>
      </w:pPr>
      <w:r w:rsidRPr="00CB0176">
        <w:rPr>
          <w:bCs/>
        </w:rPr>
        <w:t>Nejvýznamnější volby budou samozřejmě ve Spojených státech. Ty jsou již dlouho cílem bezpečných investic a místem k uložení výnosů z obchodních přebytků, což pomáhá financovat veřejné i soukromé výdaje. Zdá se, že ve světě přesouvání výroby a klesající čínské poptávky po americkém zboží slábne takzvaná „přehnaná výsada“, spojená s vydáváním světové rezervní měny. Tyto trhliny by se mohly v roce 2024 snadno prohloubit a pro Federální rezervní systém představovat pokušení pozastavit, nebo dokonce zrušit měnová opatření, např. kvantitativní zpřísňování.</w:t>
      </w:r>
    </w:p>
    <w:p w14:paraId="11E76541" w14:textId="77777777" w:rsidR="00CB6DEB" w:rsidRPr="00CB0176" w:rsidRDefault="00CB6DEB" w:rsidP="00CB6DEB">
      <w:pPr>
        <w:rPr>
          <w:bCs/>
        </w:rPr>
      </w:pPr>
      <w:r w:rsidRPr="00CB0176">
        <w:rPr>
          <w:bCs/>
        </w:rPr>
        <w:lastRenderedPageBreak/>
        <w:t>Čínský cyklus je v jiné fázi, což má důsledky pro ostatní asijské ekonomiky, které mohou těžit z čínské poptávky. Předkládaný výhled pro rok 2024 představuje možné scénáře vývoje i zde. Podobně jako západní ekonomiky se dále přizpůsobuje konci jedné éry a začátku jiné i Japonsko.</w:t>
      </w:r>
    </w:p>
    <w:p w14:paraId="4D4684A6" w14:textId="77777777" w:rsidR="00CB6DEB" w:rsidRPr="00CB0176" w:rsidRDefault="00CB6DEB" w:rsidP="00CB6DEB">
      <w:pPr>
        <w:rPr>
          <w:bCs/>
        </w:rPr>
      </w:pPr>
      <w:r w:rsidRPr="00CB0176">
        <w:rPr>
          <w:bCs/>
        </w:rPr>
        <w:t>Snad největší posun představuje snaha o vybudování udržitelnějšího světa a úsilí politických činitelů, kteří se snaží přimět společnosti a investory, aby se dále orientovali na přechodovou ekonomiku. Zapojení sítě regulačních orgánů a odvětvových skupin prostřednictvím „celosystémového řízení“ bude důležité nejen v roce 2024, ale i v dalších letech, proto je tomuto tématu věnována pozornost i v předkládaném výhledu.</w:t>
      </w:r>
    </w:p>
    <w:p w14:paraId="28C8FD7E" w14:textId="537AC9BF" w:rsidR="00CB6DEB" w:rsidRPr="00CB6DEB" w:rsidRDefault="00CB6DEB" w:rsidP="00CB6DEB">
      <w:pPr>
        <w:rPr>
          <w:bCs/>
        </w:rPr>
      </w:pPr>
      <w:r w:rsidRPr="00CB0176">
        <w:rPr>
          <w:bCs/>
        </w:rPr>
        <w:t>Svět je vždy nejistý. Toto období však patří mezi ty, kdy není přehnané hovořit o „změně režimu“. Investoři budou v roce 2024 muset zůstat pohotoví a být připraveni na zvraty, které vývoj přinese.</w:t>
      </w:r>
    </w:p>
    <w:p w14:paraId="358434F4" w14:textId="2BF0579F" w:rsidR="00CB6DEB" w:rsidRPr="00CB6DEB" w:rsidRDefault="00CB6DEB" w:rsidP="00CB6DEB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Cyklická recese </w:t>
      </w:r>
    </w:p>
    <w:p w14:paraId="74EE14BD" w14:textId="77777777" w:rsidR="00CB6DEB" w:rsidRDefault="00CB6DEB" w:rsidP="00CB6DEB">
      <w:pPr>
        <w:rPr>
          <w:i/>
        </w:rPr>
      </w:pPr>
      <w:r>
        <w:rPr>
          <w:i/>
        </w:rPr>
        <w:t>Podle Fidelity International je 60procentní pravděpodobnost, že tento scénář nastane</w:t>
      </w:r>
    </w:p>
    <w:p w14:paraId="388DF318" w14:textId="08A34010" w:rsidR="004A3533" w:rsidRPr="004A3533" w:rsidRDefault="00CB6DEB" w:rsidP="00CB6DEB">
      <w:r>
        <w:t>Cyklická recese by znamenala mírný hospodářský pokles, po němž by na konci roku 2024 nebo na začátku roku 2025 následoval návrat k růstu. Inflace by se po určitou dobu držela na zvýšených úrovních, než by se vrátila k původnímu cíli, čemuž by odpovídaly “vyšší úrokové sazby po delší dobu”. Až později by centrální banky přistoupily k jejich snížení. Toto je nyní základní scénář společnosti Fidelity International.</w:t>
      </w:r>
    </w:p>
    <w:p w14:paraId="7907EF45" w14:textId="4A3BE368" w:rsidR="004A3533" w:rsidRDefault="00CB6DEB" w:rsidP="004A3533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Graf</w:t>
      </w:r>
      <w:r w:rsidR="00F010EE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4A3533" w:rsidRPr="00EA4F03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Cyklická recese: Inflace klesá k cíli </w:t>
      </w:r>
      <w:r w:rsidRPr="00CB6DEB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4A3533" w:rsidRPr="00EA4F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sazby ji po prvních problémech na trhu práce budou následovat</w:t>
      </w:r>
    </w:p>
    <w:p w14:paraId="617087A1" w14:textId="0FDE5B65" w:rsidR="00EA4F03" w:rsidRDefault="006E78BA" w:rsidP="00EA4F03">
      <w:pPr>
        <w:spacing w:line="276" w:lineRule="auto"/>
      </w:pPr>
      <w:r w:rsidRPr="006E78BA">
        <w:rPr>
          <w:noProof/>
        </w:rPr>
        <w:drawing>
          <wp:inline distT="0" distB="0" distL="0" distR="0" wp14:anchorId="6064DAFA" wp14:editId="710CDEA2">
            <wp:extent cx="4445907" cy="3223895"/>
            <wp:effectExtent l="0" t="0" r="0" b="0"/>
            <wp:docPr id="19330415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415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0258" cy="32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A4FA" w14:textId="4A5503A9" w:rsidR="004A3533" w:rsidRPr="004A3533" w:rsidRDefault="00CB6DEB" w:rsidP="004A3533">
      <w:pPr>
        <w:spacing w:after="21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Zdroj: Fidelity International, říjen 2023.</w:t>
      </w:r>
    </w:p>
    <w:p w14:paraId="0C36122E" w14:textId="419F9ACD" w:rsidR="00CB6DEB" w:rsidRDefault="00CB6DEB" w:rsidP="00CB6DEB">
      <w:pPr>
        <w:spacing w:after="210" w:line="240" w:lineRule="auto"/>
        <w:rPr>
          <w:i/>
          <w:iCs/>
          <w:sz w:val="18"/>
          <w:szCs w:val="18"/>
        </w:rPr>
      </w:pPr>
      <w:r w:rsidRPr="00CB6DEB">
        <w:rPr>
          <w:i/>
          <w:iCs/>
          <w:sz w:val="18"/>
          <w:szCs w:val="18"/>
        </w:rPr>
        <w:t xml:space="preserve">Shrnutí: V našem základním scénáři by cyklická recese přinesla nižší hospodářský růst, který by mohl dopadnout zejména na společnosti s nižší tržní kapitalizací nebo společnosti nabízející zbytné zboží. Zájem by byl o akcie </w:t>
      </w:r>
      <w:r w:rsidRPr="00CB6DEB">
        <w:rPr>
          <w:i/>
          <w:iCs/>
          <w:sz w:val="18"/>
          <w:szCs w:val="18"/>
        </w:rPr>
        <w:lastRenderedPageBreak/>
        <w:t xml:space="preserve">(mimo nekvalitní nebo menší tituly), zatímco v oblasti fixně úročených instrumentů by se pozornost nadále soustředila na vysoce kvalitní dluhopisy s krátkou dobou splatnosti. </w:t>
      </w:r>
    </w:p>
    <w:p w14:paraId="4FD5EDB7" w14:textId="77777777" w:rsidR="00CB6DEB" w:rsidRPr="00CB6DEB" w:rsidRDefault="00CB6DEB" w:rsidP="00CB6DEB">
      <w:pPr>
        <w:rPr>
          <w:i/>
          <w:iCs/>
          <w:sz w:val="18"/>
          <w:szCs w:val="18"/>
        </w:rPr>
      </w:pPr>
      <w:r w:rsidRPr="00CB6DEB">
        <w:rPr>
          <w:i/>
          <w:iCs/>
          <w:sz w:val="18"/>
          <w:szCs w:val="18"/>
        </w:rPr>
        <w:t>- Určitá opatrnost panuje ohledně cyklických sektorů a určitých regionů z pohledu geografického.</w:t>
      </w:r>
    </w:p>
    <w:p w14:paraId="5D0D774C" w14:textId="77777777" w:rsidR="00CB6DEB" w:rsidRPr="00CB6DEB" w:rsidRDefault="00CB6DEB" w:rsidP="00CB6DEB">
      <w:pPr>
        <w:rPr>
          <w:i/>
          <w:iCs/>
          <w:sz w:val="18"/>
          <w:szCs w:val="18"/>
        </w:rPr>
      </w:pPr>
      <w:r w:rsidRPr="00CB6DEB">
        <w:rPr>
          <w:i/>
          <w:iCs/>
          <w:sz w:val="18"/>
          <w:szCs w:val="18"/>
        </w:rPr>
        <w:t>- Kvůli perzistentní inflace preferujeme inflačně vázané dluhopisy, ačkoli z následného poklesu sazeb budou těžit spíše standardní dluhopisy.</w:t>
      </w:r>
    </w:p>
    <w:p w14:paraId="11E2CC22" w14:textId="27F4243D" w:rsidR="004A3533" w:rsidRDefault="00CB6DEB" w:rsidP="00CB6DEB">
      <w:pPr>
        <w:rPr>
          <w:i/>
          <w:iCs/>
          <w:sz w:val="18"/>
          <w:szCs w:val="18"/>
        </w:rPr>
      </w:pPr>
      <w:r w:rsidRPr="00CB6DEB">
        <w:rPr>
          <w:i/>
          <w:iCs/>
          <w:sz w:val="18"/>
          <w:szCs w:val="18"/>
        </w:rPr>
        <w:t>- Potenciálně zlatý scénář pro investice do nemovitostí</w:t>
      </w:r>
    </w:p>
    <w:p w14:paraId="74DC952E" w14:textId="5D9C5A51" w:rsidR="00EA4F03" w:rsidRPr="00EA4F03" w:rsidRDefault="00CB6DEB" w:rsidP="00C4206E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Multi-asset</w:t>
      </w:r>
    </w:p>
    <w:p w14:paraId="74669EAC" w14:textId="738D6DCB" w:rsidR="00CB6DEB" w:rsidRDefault="00CB6DEB" w:rsidP="00CB6DEB">
      <w:r>
        <w:t>Cyklická recese představuje mírně rizikový scénář, který by stále nabízel dobré příležitosti pro investory, kteří umějí vybírat mezi sektory a lokalitami. Investoři by se neměli bát držet některé akcie, protože v pozdějším období roku trhy předpokládají hospodářské oživení. Obzvláště pozitivně by měly reagovat americké akcie (vyhnout se však nekvalitním a malým titulům). Atraktivně vypadají zejména akcie se střední kapitalizací a velká část indexu S&amp;P 500, která letos nedosáhla ale výkonnosti akcií skupiny "Magnificent Seven" (Alphabet, Amazon, Apple, Meta, Microsoft, Nvidia a Tesla). Ocenění u amerických, dobře fungujících firem se solidními růstovými vyhlídkami vypadá přiměřeně. Společnosti s nízkou tržní kapitalizací by se na druhé straně mohly dostat do problémů v případě zpomalení nebo recese vzhledem k jejich urgentnější potřebě refinancování dluhu.</w:t>
      </w:r>
    </w:p>
    <w:p w14:paraId="707D7F6D" w14:textId="4CE7A54F" w:rsidR="00A83BED" w:rsidRDefault="006B4884" w:rsidP="00A83BED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 w:rsidRPr="006B4884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D413C2" wp14:editId="688DAABA">
            <wp:simplePos x="0" y="0"/>
            <wp:positionH relativeFrom="column">
              <wp:posOffset>-1270</wp:posOffset>
            </wp:positionH>
            <wp:positionV relativeFrom="paragraph">
              <wp:posOffset>476250</wp:posOffset>
            </wp:positionV>
            <wp:extent cx="5759450" cy="2828290"/>
            <wp:effectExtent l="0" t="0" r="0" b="0"/>
            <wp:wrapTopAndBottom/>
            <wp:docPr id="7423939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9395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220">
        <w:rPr>
          <w:rFonts w:asciiTheme="minorHAnsi" w:hAnsiTheme="minorHAnsi" w:cstheme="minorHAnsi"/>
          <w:b/>
          <w:bCs/>
          <w:sz w:val="24"/>
          <w:szCs w:val="24"/>
        </w:rPr>
        <w:t>Graf</w:t>
      </w:r>
      <w:r w:rsidR="00F010EE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EC422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83BED" w:rsidRPr="00A83BED">
        <w:rPr>
          <w:rFonts w:asciiTheme="minorHAnsi" w:hAnsiTheme="minorHAnsi" w:cstheme="minorHAnsi"/>
          <w:b/>
          <w:bCs/>
          <w:sz w:val="24"/>
          <w:szCs w:val="24"/>
        </w:rPr>
        <w:t>Sedm velkolepých akcií vede výkonnost indexu S&amp;P 500</w:t>
      </w:r>
    </w:p>
    <w:p w14:paraId="65A5EB48" w14:textId="77777777" w:rsidR="006B4884" w:rsidRPr="004A3533" w:rsidRDefault="006B4884" w:rsidP="006B4884">
      <w:pPr>
        <w:spacing w:after="21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Zdroj: Fidelity International, říjen 2023.</w:t>
      </w:r>
    </w:p>
    <w:p w14:paraId="3836135E" w14:textId="0CF71816" w:rsidR="00CB6DEB" w:rsidRDefault="00CB6DEB" w:rsidP="00CB6DEB">
      <w:r>
        <w:t xml:space="preserve">Odtud naše preference hrát ve scénáři recese na vysoce kvalitní akcie a dluhopisy proti těm nízké kvality. Problém s refinancováním se v našem základním scénáři promítá i do preference dluhopisů investičního stupně a high yield emitentů s vyšším ratingem. </w:t>
      </w:r>
    </w:p>
    <w:p w14:paraId="0D91CEF9" w14:textId="2D6D5277" w:rsidR="00CB6DEB" w:rsidRDefault="00CB6DEB" w:rsidP="00CB6DEB">
      <w:r>
        <w:t xml:space="preserve">Dále očekáváme, že inflace v cyklické recesi zůstane po určitou dobu vyšší, než klesne zpět k </w:t>
      </w:r>
      <w:r w:rsidR="00A83207">
        <w:t>cíli,</w:t>
      </w:r>
      <w:r>
        <w:t xml:space="preserve"> a proto bychom v tomto scénáři upřednostňovali dluhopisy indexované na inflaci (nabízející "reálné výnosy") před nominálními dluhopisy. Trhy již zaceňují návrat inflace k cíli, ale investoři očekávají, že k </w:t>
      </w:r>
      <w:r>
        <w:lastRenderedPageBreak/>
        <w:t xml:space="preserve">tomu budou zapotřebí velmi vysoké reálné výnosy. V tomto scénáři by reálné výnosy klesaly ruku v ruce s návratem k růstu a v souladu s očekáváním centrálních bank. </w:t>
      </w:r>
    </w:p>
    <w:p w14:paraId="0D0DCD13" w14:textId="77777777" w:rsidR="00A83207" w:rsidRDefault="00A83207" w:rsidP="00A83207">
      <w:r>
        <w:t>Na některé rozvíjející se trhy jsme “long” bez ohledu na scénář vzhledem k atraktivnímu ocenění a individuálním ekonomickým cyklům, ale naše preference se lehce mění v závislosti na konkrétním scénáři. V případě recese představují trhy s dobrými defenzivními vlastnostmi Indie a Indonésie, které jsou navíc méně synchronizované s globálním cyklem. Upřednostňujeme také některé dluhopisy rozvíjejících se trhů v místních měnách (s kurzovým zajištěním) z důvodu poklesu globálních úrokových sazeb a absence výraznějších růstových problémů, které by poškozovaly důvěryhodnost nejvýznamnějších emerging markets.</w:t>
      </w:r>
    </w:p>
    <w:p w14:paraId="4BF4ACD1" w14:textId="77777777" w:rsidR="00A83207" w:rsidRDefault="00A83207" w:rsidP="00A83207">
      <w:pPr>
        <w:rPr>
          <w:i/>
        </w:rPr>
      </w:pPr>
      <w:r>
        <w:rPr>
          <w:i/>
        </w:rPr>
        <w:t>- Henk-Jan Rikkerink, globální ředitel divize Solutions and Multi-Asset</w:t>
      </w:r>
    </w:p>
    <w:p w14:paraId="2B71B7F3" w14:textId="176C94D1" w:rsidR="00A83207" w:rsidRPr="00EA4F03" w:rsidRDefault="00A83207" w:rsidP="00A83207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Pevný výnos</w:t>
      </w:r>
    </w:p>
    <w:p w14:paraId="7CE08023" w14:textId="77777777" w:rsidR="00A83207" w:rsidRDefault="00A83207" w:rsidP="00A83207">
      <w:r>
        <w:t>Náš scénář cyklické recese počítá s inflací nad konsensem v první polovině roku 2024. Očekávali bychom, že série proinflačních překvapení přinese další vítr do plachet dluhopisům vázaných na inflaci. Bylo by to podobné jako v letech 2020/2021, kdy inflace zrychlila a inflačně vázané dluhopisy se splatnosti od jednoho do deseti let překonaly výkonnost standardních dluhopisů o přibližně 15 %. Pozitivní inflační překvapení by naznačovala slabší období pro standardní dluhopisy v první polovině roku 2024, a proto bychom v tomto scénáři upřednostnili inflačně vázané dluhopisy se střední dobou splatnosti.</w:t>
      </w:r>
    </w:p>
    <w:p w14:paraId="3C7B772E" w14:textId="77777777" w:rsidR="00A83207" w:rsidRDefault="00A83207" w:rsidP="00A83207">
      <w:r>
        <w:t xml:space="preserve">Pokud výnosové křivky všech hlavních měn setrvají v inverzi, doporučili bychom opatrnějším investorům jako slušnou alternativu fondy peněžního trhu, které nabízejí vyšší výnosy než státní dluhopisy, a to téměř bez rizika. </w:t>
      </w:r>
    </w:p>
    <w:p w14:paraId="33855D82" w14:textId="77777777" w:rsidR="00A83207" w:rsidRDefault="00A83207" w:rsidP="00A83207">
      <w:r>
        <w:t>Zde by měly pomoci centrální banky, které zůstávají v nejvyšší pohotovosti před trvalejší inflací. Dobře by mohly fungovat také vysoce kvalitní dluhopisy s krátkou dobou splatnosti (například v britských librách).</w:t>
      </w:r>
    </w:p>
    <w:p w14:paraId="56761B5F" w14:textId="77777777" w:rsidR="00A83207" w:rsidRDefault="00A83207" w:rsidP="00A83207">
      <w:r>
        <w:t xml:space="preserve">Dobrým obdobím pro dluhopisy by měla být druhá část roku 2024, kdy očekáváme rychlejší než očekávané snižování sazeb ze strany amerického Federálního rezervního systému. Pro investory s vyšší tolerancí k riziku se stanou nominální výnosy na cyklických maximech v určitém okamžiku neodolatelné a nabídnou lepší </w:t>
      </w:r>
      <w:proofErr w:type="gramStart"/>
      <w:r>
        <w:t>betu,</w:t>
      </w:r>
      <w:proofErr w:type="gramEnd"/>
      <w:r>
        <w:t xml:space="preserve"> než dluhopisy vázané na inflaci, byť správné načasování tohoto obchodu bude mimořádně obtížné.</w:t>
      </w:r>
    </w:p>
    <w:p w14:paraId="1BD585AE" w14:textId="77777777" w:rsidR="00A83207" w:rsidRDefault="00A83207" w:rsidP="00A83207">
      <w:pPr>
        <w:rPr>
          <w:i/>
        </w:rPr>
      </w:pPr>
      <w:r>
        <w:rPr>
          <w:i/>
        </w:rPr>
        <w:t>- Steve Ellis, globální investiční ředitel pro fixní výnosy</w:t>
      </w:r>
    </w:p>
    <w:p w14:paraId="38FF0766" w14:textId="19EB1A1D" w:rsidR="00A83207" w:rsidRPr="00EA4F03" w:rsidRDefault="00A83207" w:rsidP="00A83207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Soukromé úvěry (Private credit)</w:t>
      </w:r>
    </w:p>
    <w:p w14:paraId="4ACCFF61" w14:textId="77777777" w:rsidR="00A83207" w:rsidRDefault="00A83207" w:rsidP="00A83207">
      <w:r>
        <w:t xml:space="preserve">V období cyklické recese bychom se zaměřili na další snižování rizika a posun k úvěrování dlužníků s nejsilnějšími rozvahami. Vzhledem k očekávanému obratu ve vývoji úrokových sazeb bychom očekávali určitý support na straně valuace. </w:t>
      </w:r>
    </w:p>
    <w:p w14:paraId="70DBD788" w14:textId="77777777" w:rsidR="00A83207" w:rsidRDefault="00A83207" w:rsidP="00A83207">
      <w:r>
        <w:t xml:space="preserve">Na trhu seniorních zajištěných úvěrů bychom upřednostňovali defenzivní sektory a firmy s obchodními modely s nízkými kapitálovými výdaji a transparentní ziskovou trajektorií. Zaměřili bychom se na společnosti, které mají spíše smluvní tržby, a také na ty, které budou disponovat pravděpodobně </w:t>
      </w:r>
      <w:r>
        <w:lastRenderedPageBreak/>
        <w:t xml:space="preserve">stabilnějšími cashflows, jako jsou firmy z oblasti zdravotnictví, technologií a podnikových služeb. Náklady na dluhovou službu by se začaly snižovat ruku v ruce s poklesem úrokových sazeb. </w:t>
      </w:r>
    </w:p>
    <w:p w14:paraId="7EEC2518" w14:textId="77777777" w:rsidR="00A83207" w:rsidRDefault="00A83207" w:rsidP="00A83207">
      <w:r>
        <w:t xml:space="preserve">V tomto scénáři doporučujeme nadvážit jak strukturované úvěrové strategie, tak strategie přímého úvěrování, se zvláštním zaměřením na úvěrování defenzivních a B2B sektorů. Cyklická recese vyžaduje konzervativní přístup k výběru úvěrů, abychom se vyhnuli firmám s nadměrným zadlužením, a zaměřili se na společnosti, u nichž můžeme přímo ovlivnit strukturu byznysu.  </w:t>
      </w:r>
    </w:p>
    <w:p w14:paraId="14F49F29" w14:textId="6D44A36E" w:rsidR="00A83207" w:rsidRDefault="00A83207" w:rsidP="00A83207">
      <w:r>
        <w:t xml:space="preserve">V nejnižším segmentu trhu je již nyní zaceněno velké riziko poklesu. S příchodem cyklické recese tím pádem může nastat chvíle pro realokaci do zajímavých aktiv s nižším ratingem, která trh přehnaně vyprodal </w:t>
      </w:r>
      <w:r w:rsidRPr="00A83207">
        <w:t>–</w:t>
      </w:r>
      <w:r>
        <w:t xml:space="preserve"> ideálně jakmile bude oživení nadosah. </w:t>
      </w:r>
    </w:p>
    <w:p w14:paraId="0FAFB625" w14:textId="77777777" w:rsidR="00A83207" w:rsidRDefault="00A83207" w:rsidP="00A83207">
      <w:pPr>
        <w:rPr>
          <w:i/>
        </w:rPr>
      </w:pPr>
      <w:r>
        <w:rPr>
          <w:i/>
        </w:rPr>
        <w:t>- Michael Curtis, vedoucí oddělení privátních úvěrových strategií</w:t>
      </w:r>
    </w:p>
    <w:p w14:paraId="7F86B20A" w14:textId="633F6760" w:rsidR="00A83207" w:rsidRPr="00EA4F03" w:rsidRDefault="00A83207" w:rsidP="00A83207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Akcie</w:t>
      </w:r>
    </w:p>
    <w:p w14:paraId="448D722D" w14:textId="61072A11" w:rsidR="00A83207" w:rsidRDefault="00A83207" w:rsidP="00A83207">
      <w:r>
        <w:t xml:space="preserve">Současné konsenzuální ziskové prognózy vypadají pro tento scénář příliš optimisticky, takže bychom očekávali tlak na jejich snížení. Vyplatilo by se hledat levné akcie na trzích, jako je Evropa a Japonsko, kde valuace zdaleka nepočítají s žádnou recesí. Japonsko je nyní vlastníkům akcií obzvláště nakloněno díky řadě reforem corporate governance. Očekávali bychom navíc posílení jenu, pokud by došlo ke snižování úrokových sazeb jinde ve světě. </w:t>
      </w:r>
    </w:p>
    <w:p w14:paraId="273F39D9" w14:textId="77777777" w:rsidR="00A83207" w:rsidRDefault="00A83207" w:rsidP="00A83207">
      <w:r>
        <w:t xml:space="preserve">V případě cyklické recese bychom byli opatrní v případě evropských cyklických společností, např. z odvětví průmyslu, ale očekávali bychom, že najdeme příležitosti mezi finančními podniky, které jsou oceněny atraktivně. V cyklické recesi se obvykle daří také titulům podobným dluhopisům, jako jsou utility, základní spotřební zboží a zdravotnictví. </w:t>
      </w:r>
    </w:p>
    <w:p w14:paraId="54281130" w14:textId="77777777" w:rsidR="00A83207" w:rsidRDefault="00A83207" w:rsidP="00A83207">
      <w:r>
        <w:t>Velké Británii by se v tomto scénáři nedařilo, protože zhruba pětinu trhu tvoří energetické a těžební společnosti, které by zpomalením hospodářského růstu utrpěly. Upřednostňovali bychom mezinárodní společnosti, zejména vysoce kvalitní, na širší ekonomice nezávislé tituly s pravidelnými tržbami a cenotvornou silou, díky nimž se udrží nad vodou i v horších podmínkách. Tyto podniky lze hledat v několika odvětvích, od spotřebního zboží po počítačový software.</w:t>
      </w:r>
    </w:p>
    <w:p w14:paraId="5B046F37" w14:textId="77777777" w:rsidR="00A83207" w:rsidRDefault="00A83207" w:rsidP="00A83207">
      <w:r>
        <w:t>V tomto scénáři by mohl nastat zajímavý vývoj na akciích s malou a střední kapitalizací. Tyto společnosti byly v roce 2023 zasaženy, když se potýkaly s vyššími úrokovými sazbami, a zlevnily tak v poměru k odhadům svých budoucích zisků (i když určitá nervozita ohledně jejich schopnosti tyto odhady naplnit přetrvává). Pokud na začátku roku přijdou další ekonomické problémy, pak by se small-cap akcie mohly dostat pod tlak, ale jakmile se dostaví určitá úleva v podobě poklesu úrokových sazeb, mohou mít menší akcie naopak větší růstový potenciál. Na rozdíl od velkých technologických společností, které v roce 2023 táhly svou výkonností celý trh, nejsou menší společnosti oceněny podle dokonalého scénáře a mohly by tak nabídnout širší bezpečnostní polštář.</w:t>
      </w:r>
    </w:p>
    <w:p w14:paraId="31F9F3F9" w14:textId="77777777" w:rsidR="00A83207" w:rsidRDefault="00A83207" w:rsidP="00A83207">
      <w:pPr>
        <w:rPr>
          <w:i/>
        </w:rPr>
      </w:pPr>
      <w:r>
        <w:rPr>
          <w:i/>
        </w:rPr>
        <w:t>- Ilga Haubelt, vedoucí oddělení akcií pro Evropu; Martin Dropkin, vedoucí oddělení akcií pro Asii a Tichomoří</w:t>
      </w:r>
    </w:p>
    <w:p w14:paraId="152594A0" w14:textId="41A24A5C" w:rsidR="00A83207" w:rsidRPr="00EA4F03" w:rsidRDefault="00A83207" w:rsidP="00A83207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Nemovitosti</w:t>
      </w:r>
    </w:p>
    <w:p w14:paraId="7737EAAE" w14:textId="0835469D" w:rsidR="00A83207" w:rsidRDefault="00A83207" w:rsidP="00A83207">
      <w:r>
        <w:lastRenderedPageBreak/>
        <w:t xml:space="preserve">Cyklická recese představuje v mnoha ohledech ideální scénář pro nemovitosti, protože nízká inflace je pro nemovitosti obvykle pozitivní. Navíc pokud pokles cen nemovitostí je již za námi (zejména v Evropě, a zvláště ve Velké Británii) a úrokové sazby taktéž dosáhly svého vrcholu, pak by zde měl být určitý potenciál ke zhodnocení. Na evropských trzích již mezi nabídkou a poptávkou panuje rovnováha, a rok 2024 by se tedy podle tohoto scénáře měl pro nemovitosti ukázat jako silný.  </w:t>
      </w:r>
    </w:p>
    <w:p w14:paraId="0A6253B9" w14:textId="77777777" w:rsidR="00A83207" w:rsidRDefault="00A83207" w:rsidP="00A83207">
      <w:r>
        <w:t xml:space="preserve">Je důležité si uvědomit, že kromě měnících se makroekonomických podmínek trh s nemovitostmi zápasí rovněž se strukturální změnou a přechází z období udržitelných příjmů do období udržitelného růstu. Dříve se ve světě téměř nulových úrokových sazeb investovalo do nemovitostí především kvůli jejich výnosu (zejména ve srovnání s třídami aktiv, jako jsou dluhopisy). Nyní bychom u nemovitostí čekali návrat k jejich tradiční roli "hybridní" třídy aktiv kombinující udržitelný příjem s kapitálovým růstem podobně jako u akcií. </w:t>
      </w:r>
    </w:p>
    <w:p w14:paraId="57E900F3" w14:textId="77777777" w:rsidR="00A83207" w:rsidRDefault="00A83207" w:rsidP="00A83207">
      <w:pPr>
        <w:rPr>
          <w:i/>
        </w:rPr>
      </w:pPr>
      <w:r>
        <w:rPr>
          <w:i/>
        </w:rPr>
        <w:t>-Neil Cable, vedoucí oddělení investic do evropských nemovitostí</w:t>
      </w:r>
    </w:p>
    <w:p w14:paraId="759A7787" w14:textId="1EB4E389" w:rsidR="00A83207" w:rsidRPr="00EA4F03" w:rsidRDefault="00A83207" w:rsidP="00A83207">
      <w:pPr>
        <w:pStyle w:val="F2-zkladn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Pohled na situaci v terénu</w:t>
      </w:r>
    </w:p>
    <w:p w14:paraId="69EC8808" w14:textId="77777777" w:rsidR="00A83207" w:rsidRDefault="00A83207" w:rsidP="00A83207">
      <w:r>
        <w:t>Jak by se podle našich analytiků dařilo jejich sektorům v různých scénářích.</w:t>
      </w:r>
    </w:p>
    <w:p w14:paraId="6BC780DE" w14:textId="77777777" w:rsidR="00A83207" w:rsidRDefault="00A83207" w:rsidP="00A83207">
      <w:r>
        <w:t xml:space="preserve">"Realitní investiční trusty se obvykle obchodují jako dluhopisy. Pokud se sazby sníží, měly by se alespoň zvýšit valuace, třebaže fundamenty utrpí tak jako celková ekonomika." </w:t>
      </w:r>
    </w:p>
    <w:p w14:paraId="5FA7BD35" w14:textId="77777777" w:rsidR="00A83207" w:rsidRDefault="00A83207" w:rsidP="00A83207">
      <w:r>
        <w:t xml:space="preserve">- Analytik realitních akcií, Severní Amerika </w:t>
      </w:r>
    </w:p>
    <w:p w14:paraId="355164BC" w14:textId="77777777" w:rsidR="00A83207" w:rsidRDefault="00A83207" w:rsidP="00A83207">
      <w:r>
        <w:t xml:space="preserve">"Sektor cyklické spotřeby je sektorem s vyšší betou závislý na úrovni zbytných spotřebitelských výdajů. Tyto společnosti by patřily k těm, které by recese jakéhokoli rozsahu zasáhla výrazněji." </w:t>
      </w:r>
    </w:p>
    <w:p w14:paraId="2033FB68" w14:textId="7DF2871C" w:rsidR="00A83207" w:rsidRDefault="00A83207" w:rsidP="00A83207">
      <w:r>
        <w:t>- Dluhopisový analytik pro sektor zbytné spotřeby, Severní Amerika</w:t>
      </w:r>
    </w:p>
    <w:p w14:paraId="05407F74" w14:textId="77777777" w:rsidR="00A83207" w:rsidRDefault="00A83207" w:rsidP="00A83207">
      <w:r>
        <w:t xml:space="preserve">"Tento scénář by měl vést k růstu cen komodit, což by mělo negativní dopad na společnosti z oblasti základních materiálů." </w:t>
      </w:r>
    </w:p>
    <w:p w14:paraId="1666413C" w14:textId="77777777" w:rsidR="00A83207" w:rsidRDefault="00A83207" w:rsidP="00A83207">
      <w:r>
        <w:t>- Akciový analytik pro materiálový sektor, Indie</w:t>
      </w:r>
    </w:p>
    <w:p w14:paraId="6BE16832" w14:textId="77777777" w:rsidR="00A83207" w:rsidRDefault="00A83207" w:rsidP="00A83207"/>
    <w:p w14:paraId="5F0ACD86" w14:textId="77777777" w:rsidR="00A83207" w:rsidRPr="00A83207" w:rsidRDefault="00A83207" w:rsidP="00A83207">
      <w:pPr>
        <w:pStyle w:val="F2-zkladn"/>
      </w:pPr>
    </w:p>
    <w:p w14:paraId="2E700EAE" w14:textId="77777777" w:rsidR="00A83207" w:rsidRPr="00A83207" w:rsidRDefault="00A83207" w:rsidP="00A83207">
      <w:pPr>
        <w:pStyle w:val="F2-zkladn"/>
      </w:pPr>
    </w:p>
    <w:p w14:paraId="52CB6237" w14:textId="77777777" w:rsidR="004A3533" w:rsidRPr="004A3533" w:rsidRDefault="004A3533" w:rsidP="004A3533">
      <w:pPr>
        <w:pStyle w:val="F2-zkladn"/>
      </w:pPr>
    </w:p>
    <w:p w14:paraId="3B45AF67" w14:textId="4C4B1E7F" w:rsidR="00725052" w:rsidRPr="00627C23" w:rsidRDefault="00725052" w:rsidP="00627C23">
      <w:pPr>
        <w:spacing w:before="0" w:line="240" w:lineRule="atLeast"/>
        <w:rPr>
          <w:color w:val="000000" w:themeColor="text1"/>
        </w:rPr>
      </w:pPr>
      <w:r w:rsidRPr="00455A3C">
        <w:rPr>
          <w:b/>
        </w:rPr>
        <w:t>Pro více informací kontaktujte:</w:t>
      </w:r>
    </w:p>
    <w:p w14:paraId="7B66DFDA" w14:textId="77777777" w:rsidR="00725052" w:rsidRDefault="00725052" w:rsidP="002027ED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14:paraId="34A69B71" w14:textId="77777777" w:rsidR="00725052" w:rsidRPr="00455A3C" w:rsidRDefault="00725052" w:rsidP="002027ED">
      <w:pPr>
        <w:spacing w:before="0" w:line="240" w:lineRule="atLeast"/>
        <w:rPr>
          <w:b/>
          <w:bCs/>
        </w:rPr>
      </w:pPr>
      <w:r w:rsidRPr="00455A3C">
        <w:rPr>
          <w:b/>
          <w:bCs/>
        </w:rPr>
        <w:t>Crest Communications, a.s.</w:t>
      </w:r>
    </w:p>
    <w:p w14:paraId="76A61198" w14:textId="77777777" w:rsidR="00725052" w:rsidRPr="00455A3C" w:rsidRDefault="00725052" w:rsidP="002027ED">
      <w:pPr>
        <w:spacing w:before="0" w:line="240" w:lineRule="atLeast"/>
      </w:pPr>
    </w:p>
    <w:p w14:paraId="5BFDE25D" w14:textId="77777777" w:rsidR="00725052" w:rsidRPr="00455A3C" w:rsidRDefault="00725052" w:rsidP="002027ED">
      <w:pPr>
        <w:spacing w:before="0" w:line="240" w:lineRule="atLeast"/>
      </w:pPr>
      <w:r w:rsidRPr="00455A3C">
        <w:t>Ostrovní 126/30</w:t>
      </w:r>
    </w:p>
    <w:p w14:paraId="35E1E439" w14:textId="77777777" w:rsidR="00725052" w:rsidRPr="00455A3C" w:rsidRDefault="00725052" w:rsidP="002027ED">
      <w:pPr>
        <w:spacing w:before="0" w:line="240" w:lineRule="atLeast"/>
      </w:pPr>
      <w:r w:rsidRPr="00455A3C">
        <w:t>110 00 Praha 1</w:t>
      </w:r>
    </w:p>
    <w:p w14:paraId="35FD41C3" w14:textId="77777777" w:rsidR="00725052" w:rsidRPr="00455A3C" w:rsidRDefault="00725052" w:rsidP="002027ED">
      <w:pPr>
        <w:spacing w:before="0" w:line="240" w:lineRule="atLeast"/>
      </w:pPr>
      <w:r>
        <w:t>gsm: + 420 720 406 659</w:t>
      </w:r>
    </w:p>
    <w:p w14:paraId="4FD0B4A0" w14:textId="77777777" w:rsidR="000E2910" w:rsidRDefault="00725052" w:rsidP="002027ED">
      <w:pPr>
        <w:spacing w:before="0" w:line="240" w:lineRule="atLeast"/>
        <w:rPr>
          <w:rStyle w:val="Hypertextovodkaz"/>
        </w:rPr>
      </w:pPr>
      <w:r w:rsidRPr="00455A3C">
        <w:rPr>
          <w:color w:val="000000"/>
        </w:rPr>
        <w:t xml:space="preserve">e-mail: </w:t>
      </w:r>
      <w:hyperlink r:id="rId14" w:history="1">
        <w:r w:rsidRPr="00E23FD4">
          <w:rPr>
            <w:rStyle w:val="Hypertextovodkaz"/>
          </w:rPr>
          <w:t>eliska.krohova@crestcom.cz</w:t>
        </w:r>
      </w:hyperlink>
    </w:p>
    <w:p w14:paraId="14AE2F5A" w14:textId="77777777" w:rsidR="005A5AB1" w:rsidRPr="005A5AB1" w:rsidRDefault="005A5AB1" w:rsidP="002027ED">
      <w:pPr>
        <w:pStyle w:val="F2-zkladn"/>
      </w:pPr>
    </w:p>
    <w:p w14:paraId="795B3F46" w14:textId="77777777" w:rsidR="00D404D5" w:rsidRPr="00D404D5" w:rsidRDefault="00D404D5" w:rsidP="002027ED">
      <w:pPr>
        <w:shd w:val="clear" w:color="auto" w:fill="FFFFFF"/>
        <w:spacing w:before="0" w:line="360" w:lineRule="atLeast"/>
        <w:rPr>
          <w:b/>
          <w:bCs/>
        </w:rPr>
      </w:pPr>
      <w:r w:rsidRPr="00D404D5">
        <w:rPr>
          <w:b/>
          <w:bCs/>
        </w:rPr>
        <w:lastRenderedPageBreak/>
        <w:t>Informace pro editory:</w:t>
      </w:r>
    </w:p>
    <w:p w14:paraId="4597FFEE" w14:textId="4A5600C6" w:rsidR="00DF09B1" w:rsidRDefault="00D404D5" w:rsidP="00292EC0">
      <w:pPr>
        <w:shd w:val="clear" w:color="auto" w:fill="FFFFFF"/>
        <w:spacing w:before="0" w:line="360" w:lineRule="atLeast"/>
        <w:rPr>
          <w:color w:val="000000"/>
          <w:lang w:eastAsia="en-US"/>
        </w:rPr>
      </w:pPr>
      <w:r w:rsidRPr="00D404D5">
        <w:rPr>
          <w:b/>
          <w:bCs/>
        </w:rPr>
        <w:t>Fidelity International </w:t>
      </w:r>
      <w:r w:rsidRPr="00D404D5">
        <w:rPr>
          <w:color w:val="000000"/>
          <w:lang w:eastAsia="en-US"/>
        </w:rPr>
        <w:t>byla založena v roce 1969 a poskytuje investiční služby a produkty soukromým a institucionálním investorům. Od ostatních globálních investičních společností se liší zejména formou vlastnictví. Jedná o čistě privátní, soukromou společnost vlastněnou přímo členy zakládající rodiny a managementem firmy. Společnost klade veliký důraz na provádění podrobných analýz, na jejichž základě pak identifikují pro klienty nejvýhodnější investiční příležitosti. Její speciální týmy investičních analytiků a odborníků působí ve všech hlavních finančních centrech světa – v Londýně, Frankfurtu, Paříži, Hongkongu, Tokiu, Singapuru, Soulu, Dillí, Bombaji a v Sydney. V současné době administruje aktiva ve výši 87 mld. USD (assets under administration) a globálně pro klienty investovala 290 mld. USD ve 25 zemích napříč Evropou, Asií, Tichomořím, středním Východem a jižní Amerikou. V České republice Fidelity působí od roku 2012 a mezi její klienty patří celá řada významných institucionálních i privátních klientů, všechny významné banky, pojišťovny, finanční společnosti a nezávislí finanční poradci, kteří koncovým investorům zprostředkovávají investiční fondy této globální investiční společnosti.</w:t>
      </w:r>
    </w:p>
    <w:p w14:paraId="613BB0D6" w14:textId="77777777" w:rsidR="006E78BA" w:rsidRDefault="006E78BA" w:rsidP="006E78BA">
      <w:pPr>
        <w:pStyle w:val="F2-zkladn"/>
        <w:rPr>
          <w:lang w:eastAsia="en-US"/>
        </w:rPr>
      </w:pPr>
    </w:p>
    <w:p w14:paraId="61513033" w14:textId="77777777" w:rsidR="006E78BA" w:rsidRPr="006E78BA" w:rsidRDefault="006E78BA" w:rsidP="006E78BA">
      <w:pPr>
        <w:pStyle w:val="F2-zkladn"/>
        <w:rPr>
          <w:lang w:eastAsia="en-US"/>
        </w:rPr>
      </w:pPr>
    </w:p>
    <w:p w14:paraId="129A4442" w14:textId="6F4B9217" w:rsidR="00424771" w:rsidRPr="00424771" w:rsidRDefault="00424771" w:rsidP="002027ED">
      <w:pPr>
        <w:pStyle w:val="F2-zkladn"/>
        <w:rPr>
          <w:b/>
          <w:bCs/>
        </w:rPr>
      </w:pPr>
      <w:r w:rsidRPr="00424771">
        <w:rPr>
          <w:b/>
          <w:bCs/>
        </w:rPr>
        <w:t>Důležité upozornění</w:t>
      </w:r>
    </w:p>
    <w:p w14:paraId="433960A8" w14:textId="77777777" w:rsidR="00424771" w:rsidRDefault="00424771" w:rsidP="002027ED">
      <w:pPr>
        <w:pStyle w:val="F2-zkladn"/>
      </w:pPr>
      <w:r>
        <w:t>Toto je propagační materiál. Tento dokument nesmí být bez předchozího souhlasu rozmnožován nebo rozšiřován.</w:t>
      </w:r>
    </w:p>
    <w:p w14:paraId="0B3DEE37" w14:textId="77777777" w:rsidR="00424771" w:rsidRDefault="00424771" w:rsidP="002027ED">
      <w:pPr>
        <w:pStyle w:val="F2-zkladn"/>
      </w:pPr>
      <w:r>
        <w:t>Fidelity International poskytuje informace pouze o svých produktech a neposkytuje investiční poradenství na základě individuálních potřeb, jinak než konkrétně řádně stanovené oprávněnou společností při formální komunikaci s klientem.</w:t>
      </w:r>
    </w:p>
    <w:p w14:paraId="61E87E02" w14:textId="77777777" w:rsidR="00424771" w:rsidRDefault="00424771" w:rsidP="002027ED">
      <w:pPr>
        <w:pStyle w:val="F2-zkladn"/>
      </w:pPr>
      <w:r>
        <w:t>Jako Fidelity International je označována skupina společností, které tvoří globální organizaci správy investic poskytující informace o produktech a službách v určených jurisdikcích mimo Severní Ameriku. Toto písemné sdělení není směřováno k osobám se sídlem ve Spojených státech a takové osoby nesmí podle něj jednat. Je určeno pouze osobám bytem v takové v soudní příslušnosti, kde jsou příslušné fondy povoleny k distribuci nebo tam, kde není takové povolení vyžadováno.</w:t>
      </w:r>
    </w:p>
    <w:p w14:paraId="2F36FE40" w14:textId="77777777" w:rsidR="00424771" w:rsidRDefault="00424771" w:rsidP="002027ED">
      <w:pPr>
        <w:pStyle w:val="F2-zkladn"/>
      </w:pPr>
      <w:r>
        <w:t>Všechny názory představují stanoviska společnosti Fidelity, není-li uvedeno jinak. Fidelity, Fidelity International a logo Fidelity International a symbol měny F jsou všechno ochrannými známkami společnosti FIL Limited.</w:t>
      </w:r>
    </w:p>
    <w:p w14:paraId="6BC4A9D3" w14:textId="77777777" w:rsidR="00424771" w:rsidRDefault="00424771" w:rsidP="002027ED">
      <w:pPr>
        <w:pStyle w:val="F2-zkladn"/>
      </w:pPr>
      <w:r>
        <w:t>Tento dokument nepředstavuje distribuci, nabídku nebo výzvu k využití služeb investiční správy společnosti Fidelity, ani nabídku ke koupi, prodeji nebo výzvu k nabídce ke koupi nebo prodeji jakýchkoli cenných papírů v jakékoli jurisdikci nebo zemi, kde taková distribuce nebo nabídka není povolena či by byla v rozporu s místními zákony nebo předpisy.</w:t>
      </w:r>
    </w:p>
    <w:p w14:paraId="72B3F5EA" w14:textId="77777777" w:rsidR="00424771" w:rsidRDefault="00424771" w:rsidP="002027ED">
      <w:pPr>
        <w:pStyle w:val="F2-zkladn"/>
      </w:pPr>
      <w:r>
        <w:t xml:space="preserve">Odkazy v tomto dokumentu na konkrétní cenné papíry nelze vykládat jako doporučení ke koupi nebo prodeji těchto cenných papírů, ale jsou uvedeny pouze pro ilustraci. Investoři by rovněž měli vzít na </w:t>
      </w:r>
      <w:r>
        <w:lastRenderedPageBreak/>
        <w:t>vědomí, že vyjádřené názory již nemusí být aktuální a společnost Fidelity již mohla jednat. Průzkumy a analýzy použité v této dokumentaci shromažďuje společnost Fidelity pro své potřeby správce investic a je možné, že podle nich již bylo postupováno pro její vlastní účely. Tento materiál byl vytvořen společností Fidelity International.</w:t>
      </w:r>
    </w:p>
    <w:p w14:paraId="7CEE125B" w14:textId="77777777" w:rsidR="00424771" w:rsidRDefault="00424771" w:rsidP="002027ED">
      <w:pPr>
        <w:pStyle w:val="F2-zkladn"/>
      </w:pPr>
      <w:r>
        <w:t>Minulá výkonnost není spolehlivým ukazatelem budoucích výsledků.</w:t>
      </w:r>
    </w:p>
    <w:p w14:paraId="5443331B" w14:textId="77777777" w:rsidR="00424771" w:rsidRDefault="00424771" w:rsidP="002027ED">
      <w:pPr>
        <w:pStyle w:val="F2-zkladn"/>
      </w:pPr>
      <w:r>
        <w:t>Tento dokument může obsahovat materiály třetích stran, které jsou dodávány společnostmi, jež nejsou spojeny s žádným subjektem Fidelity (obsah třetích stran). Společnost Fidelity se nepodílela na přípravě, přijetí ani úpravě takových materiálů třetích stran a výslovně ani implicitně takový obsah neschvaluje ani nepodporovala.</w:t>
      </w:r>
    </w:p>
    <w:p w14:paraId="310C6B00" w14:textId="77777777" w:rsidR="00424771" w:rsidRDefault="00424771" w:rsidP="002027ED">
      <w:pPr>
        <w:pStyle w:val="F2-zkladn"/>
      </w:pPr>
      <w:r>
        <w:t xml:space="preserve">Údaje nejsou auditované. Odborníci provádějící průzkum zahrnují společníky a analytiky. Doporučujeme, abyste si před uskutečněním jakéhokoli investičního rozhodnutí opatřili podrobné informace. Investice by měly být prováděny na základě aktuálního prospektu (v angličtině a češtině) a dokumentu KIID (Klíčové informace pro investory) - dostupný v angličtině a češtině, které jsou dostupné spolu s výročními a pololetními zprávami zdarma na https://www.fidelityinternational.com nebo od našich distributořů a našeho evropského Centra služeb v Lucembursku, sídlící na adrese FIL (Luxembourg) S.A. </w:t>
      </w:r>
      <w:proofErr w:type="gramStart"/>
      <w:r>
        <w:t>2a</w:t>
      </w:r>
      <w:proofErr w:type="gramEnd"/>
      <w:r>
        <w:t>, rue Albert Borschette BP 2174 L-1021 Luxembourg.</w:t>
      </w:r>
    </w:p>
    <w:p w14:paraId="4471B0D2" w14:textId="77777777" w:rsidR="00424771" w:rsidRDefault="00424771" w:rsidP="002027ED">
      <w:pPr>
        <w:pStyle w:val="F2-zkladn"/>
      </w:pPr>
      <w:r>
        <w:t>Fidelity Funds "FF" je otevřená investiční společnost (SKIPCP) sídlící v Lucembursku, která disponuje akciemi různých tříd. Společnost FIL Investment Management (Luxembourg) S.A. si vyhrazuje právo ukončit nabízení podfondu a jeho podílových jednotek na trhu v souladu s článkem 93 písm. a) směrnice 2009/65/ES a článkem 32 písm. a) směrnice 2011/61/EU. Toto ukončení bude předem oznámeno v Lucembursku.Obchodní známky třetích stran, autorská práva a další práva duševního vlastnictví zůstávají majetkem jejich konkrétních vlastníků.</w:t>
      </w:r>
    </w:p>
    <w:p w14:paraId="58994F9D" w14:textId="43A40708" w:rsidR="00424771" w:rsidRDefault="00424771" w:rsidP="002027ED">
      <w:pPr>
        <w:pStyle w:val="F2-zkladn"/>
      </w:pPr>
      <w:r>
        <w:t>Investoři a potenciální investoři mohou získat informace o svých právech ve spojení se stížnostmi a soudními spory na tomto odkazu: https://www.fidelity.cz (v češtině).</w:t>
      </w:r>
    </w:p>
    <w:p w14:paraId="237B7044" w14:textId="53AC4E50" w:rsidR="00191AE8" w:rsidRDefault="006E78BA" w:rsidP="002027ED">
      <w:pPr>
        <w:pStyle w:val="F2-zkladn"/>
      </w:pPr>
      <w:r w:rsidRPr="006E78BA">
        <w:t>MKAT11961</w:t>
      </w:r>
    </w:p>
    <w:sectPr w:rsidR="00191AE8" w:rsidSect="000667E6">
      <w:headerReference w:type="default" r:id="rId15"/>
      <w:footerReference w:type="default" r:id="rId16"/>
      <w:headerReference w:type="first" r:id="rId17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5757" w14:textId="77777777" w:rsidR="000667E6" w:rsidRDefault="000667E6">
      <w:r>
        <w:separator/>
      </w:r>
    </w:p>
  </w:endnote>
  <w:endnote w:type="continuationSeparator" w:id="0">
    <w:p w14:paraId="0A9E6691" w14:textId="77777777" w:rsidR="000667E6" w:rsidRDefault="0006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5637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0C5A" w14:textId="77777777" w:rsidR="000667E6" w:rsidRDefault="000667E6">
      <w:r>
        <w:separator/>
      </w:r>
    </w:p>
  </w:footnote>
  <w:footnote w:type="continuationSeparator" w:id="0">
    <w:p w14:paraId="2B5D777D" w14:textId="77777777" w:rsidR="000667E6" w:rsidRDefault="000667E6">
      <w:r>
        <w:continuationSeparator/>
      </w:r>
    </w:p>
  </w:footnote>
  <w:footnote w:type="continuationNotice" w:id="1">
    <w:p w14:paraId="79D730D8" w14:textId="77777777" w:rsidR="000667E6" w:rsidRDefault="00066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017D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A00C" w14:textId="77777777"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F4AD04" wp14:editId="5C9E197D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368C94" w14:textId="77777777" w:rsidR="001D1343" w:rsidRDefault="001D1343">
    <w:pPr>
      <w:pStyle w:val="Zhlav"/>
    </w:pPr>
  </w:p>
  <w:p w14:paraId="37BBE7A7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3"/>
    <w:multiLevelType w:val="hybridMultilevel"/>
    <w:tmpl w:val="D6C01A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ADA0103"/>
    <w:multiLevelType w:val="hybridMultilevel"/>
    <w:tmpl w:val="741E0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A78F7"/>
    <w:multiLevelType w:val="multilevel"/>
    <w:tmpl w:val="EAECD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6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652445"/>
    <w:multiLevelType w:val="hybridMultilevel"/>
    <w:tmpl w:val="22F69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F0E45"/>
    <w:multiLevelType w:val="hybridMultilevel"/>
    <w:tmpl w:val="881AF074"/>
    <w:lvl w:ilvl="0" w:tplc="EBD83B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5C1264C"/>
    <w:multiLevelType w:val="hybridMultilevel"/>
    <w:tmpl w:val="F19A36BA"/>
    <w:lvl w:ilvl="0" w:tplc="04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9903D7F"/>
    <w:multiLevelType w:val="hybridMultilevel"/>
    <w:tmpl w:val="EA94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3345E3"/>
    <w:multiLevelType w:val="hybridMultilevel"/>
    <w:tmpl w:val="21E01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41E1"/>
    <w:multiLevelType w:val="hybridMultilevel"/>
    <w:tmpl w:val="4882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28" w15:restartNumberingAfterBreak="0">
    <w:nsid w:val="5BCB4766"/>
    <w:multiLevelType w:val="hybridMultilevel"/>
    <w:tmpl w:val="AE3A7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26CD4"/>
    <w:multiLevelType w:val="multilevel"/>
    <w:tmpl w:val="61EAA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6970551"/>
    <w:multiLevelType w:val="hybridMultilevel"/>
    <w:tmpl w:val="3DA6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1A10DC4"/>
    <w:multiLevelType w:val="hybridMultilevel"/>
    <w:tmpl w:val="21E01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A2421"/>
    <w:multiLevelType w:val="hybridMultilevel"/>
    <w:tmpl w:val="46A207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644AB6"/>
    <w:multiLevelType w:val="hybridMultilevel"/>
    <w:tmpl w:val="21E01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3941">
    <w:abstractNumId w:val="16"/>
  </w:num>
  <w:num w:numId="2" w16cid:durableId="1638339720">
    <w:abstractNumId w:val="29"/>
  </w:num>
  <w:num w:numId="3" w16cid:durableId="1582174134">
    <w:abstractNumId w:val="34"/>
  </w:num>
  <w:num w:numId="4" w16cid:durableId="1727561179">
    <w:abstractNumId w:val="21"/>
  </w:num>
  <w:num w:numId="5" w16cid:durableId="56979214">
    <w:abstractNumId w:val="23"/>
  </w:num>
  <w:num w:numId="6" w16cid:durableId="52699439">
    <w:abstractNumId w:val="19"/>
  </w:num>
  <w:num w:numId="7" w16cid:durableId="1526748972">
    <w:abstractNumId w:val="32"/>
  </w:num>
  <w:num w:numId="8" w16cid:durableId="1090007024">
    <w:abstractNumId w:val="24"/>
  </w:num>
  <w:num w:numId="9" w16cid:durableId="1032535037">
    <w:abstractNumId w:val="8"/>
  </w:num>
  <w:num w:numId="10" w16cid:durableId="1368292198">
    <w:abstractNumId w:val="3"/>
  </w:num>
  <w:num w:numId="11" w16cid:durableId="427233610">
    <w:abstractNumId w:val="2"/>
  </w:num>
  <w:num w:numId="12" w16cid:durableId="1182013425">
    <w:abstractNumId w:val="1"/>
  </w:num>
  <w:num w:numId="13" w16cid:durableId="1669865951">
    <w:abstractNumId w:val="0"/>
  </w:num>
  <w:num w:numId="14" w16cid:durableId="1801612444">
    <w:abstractNumId w:val="11"/>
  </w:num>
  <w:num w:numId="15" w16cid:durableId="25445604">
    <w:abstractNumId w:val="9"/>
  </w:num>
  <w:num w:numId="16" w16cid:durableId="178474471">
    <w:abstractNumId w:val="7"/>
  </w:num>
  <w:num w:numId="17" w16cid:durableId="545071526">
    <w:abstractNumId w:val="6"/>
  </w:num>
  <w:num w:numId="18" w16cid:durableId="1622882410">
    <w:abstractNumId w:val="5"/>
  </w:num>
  <w:num w:numId="19" w16cid:durableId="437528543">
    <w:abstractNumId w:val="4"/>
  </w:num>
  <w:num w:numId="20" w16cid:durableId="2003003173">
    <w:abstractNumId w:val="15"/>
  </w:num>
  <w:num w:numId="21" w16cid:durableId="1552955819">
    <w:abstractNumId w:val="27"/>
  </w:num>
  <w:num w:numId="22" w16cid:durableId="1722094048">
    <w:abstractNumId w:val="12"/>
  </w:num>
  <w:num w:numId="23" w16cid:durableId="1472819905">
    <w:abstractNumId w:val="10"/>
  </w:num>
  <w:num w:numId="24" w16cid:durableId="1979648277">
    <w:abstractNumId w:val="13"/>
  </w:num>
  <w:num w:numId="25" w16cid:durableId="1164123908">
    <w:abstractNumId w:val="17"/>
  </w:num>
  <w:num w:numId="26" w16cid:durableId="2000425049">
    <w:abstractNumId w:val="31"/>
  </w:num>
  <w:num w:numId="27" w16cid:durableId="339890089">
    <w:abstractNumId w:val="26"/>
  </w:num>
  <w:num w:numId="28" w16cid:durableId="571113239">
    <w:abstractNumId w:val="18"/>
  </w:num>
  <w:num w:numId="29" w16cid:durableId="1961842128">
    <w:abstractNumId w:val="20"/>
  </w:num>
  <w:num w:numId="30" w16cid:durableId="1308898731">
    <w:abstractNumId w:val="22"/>
  </w:num>
  <w:num w:numId="31" w16cid:durableId="297690701">
    <w:abstractNumId w:val="28"/>
  </w:num>
  <w:num w:numId="32" w16cid:durableId="1759861628">
    <w:abstractNumId w:val="35"/>
  </w:num>
  <w:num w:numId="33" w16cid:durableId="2037387264">
    <w:abstractNumId w:val="25"/>
  </w:num>
  <w:num w:numId="34" w16cid:durableId="1056201924">
    <w:abstractNumId w:val="33"/>
  </w:num>
  <w:num w:numId="35" w16cid:durableId="1984849997">
    <w:abstractNumId w:val="36"/>
  </w:num>
  <w:num w:numId="36" w16cid:durableId="1007513551">
    <w:abstractNumId w:val="14"/>
  </w:num>
  <w:num w:numId="37" w16cid:durableId="129606093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29A3"/>
    <w:rsid w:val="0000353E"/>
    <w:rsid w:val="000051B3"/>
    <w:rsid w:val="00005C47"/>
    <w:rsid w:val="000064D6"/>
    <w:rsid w:val="00006E35"/>
    <w:rsid w:val="00011BEC"/>
    <w:rsid w:val="00013232"/>
    <w:rsid w:val="00016492"/>
    <w:rsid w:val="00017E0A"/>
    <w:rsid w:val="00021D97"/>
    <w:rsid w:val="0002277D"/>
    <w:rsid w:val="000237A9"/>
    <w:rsid w:val="00026B23"/>
    <w:rsid w:val="00032CD3"/>
    <w:rsid w:val="00033378"/>
    <w:rsid w:val="0003583E"/>
    <w:rsid w:val="00035DD6"/>
    <w:rsid w:val="000363FF"/>
    <w:rsid w:val="000378F9"/>
    <w:rsid w:val="00040650"/>
    <w:rsid w:val="00040CE8"/>
    <w:rsid w:val="00040DEC"/>
    <w:rsid w:val="00041B2D"/>
    <w:rsid w:val="000452C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64A3"/>
    <w:rsid w:val="00061775"/>
    <w:rsid w:val="00062BEA"/>
    <w:rsid w:val="00063F4E"/>
    <w:rsid w:val="00065B2F"/>
    <w:rsid w:val="000667E6"/>
    <w:rsid w:val="000702F0"/>
    <w:rsid w:val="0007034E"/>
    <w:rsid w:val="0007090F"/>
    <w:rsid w:val="00070C89"/>
    <w:rsid w:val="00071169"/>
    <w:rsid w:val="0007145D"/>
    <w:rsid w:val="00073A88"/>
    <w:rsid w:val="00073D6F"/>
    <w:rsid w:val="000755DF"/>
    <w:rsid w:val="000763EB"/>
    <w:rsid w:val="0007674D"/>
    <w:rsid w:val="000767DF"/>
    <w:rsid w:val="00076A25"/>
    <w:rsid w:val="00076A2B"/>
    <w:rsid w:val="00080750"/>
    <w:rsid w:val="00081DCE"/>
    <w:rsid w:val="00084075"/>
    <w:rsid w:val="00091210"/>
    <w:rsid w:val="00092137"/>
    <w:rsid w:val="000923E4"/>
    <w:rsid w:val="00093200"/>
    <w:rsid w:val="00093C6A"/>
    <w:rsid w:val="00093E98"/>
    <w:rsid w:val="000940D0"/>
    <w:rsid w:val="000A0176"/>
    <w:rsid w:val="000A2833"/>
    <w:rsid w:val="000A2D6F"/>
    <w:rsid w:val="000A3FFF"/>
    <w:rsid w:val="000A572D"/>
    <w:rsid w:val="000A5FDF"/>
    <w:rsid w:val="000A73CB"/>
    <w:rsid w:val="000A755E"/>
    <w:rsid w:val="000B0FBB"/>
    <w:rsid w:val="000B2222"/>
    <w:rsid w:val="000B2426"/>
    <w:rsid w:val="000B39A5"/>
    <w:rsid w:val="000B51E9"/>
    <w:rsid w:val="000B57A2"/>
    <w:rsid w:val="000B5A2B"/>
    <w:rsid w:val="000C0E0E"/>
    <w:rsid w:val="000C17C8"/>
    <w:rsid w:val="000C34DC"/>
    <w:rsid w:val="000C4D6D"/>
    <w:rsid w:val="000C5471"/>
    <w:rsid w:val="000C727D"/>
    <w:rsid w:val="000C772F"/>
    <w:rsid w:val="000D25CC"/>
    <w:rsid w:val="000D3C66"/>
    <w:rsid w:val="000D5282"/>
    <w:rsid w:val="000D580F"/>
    <w:rsid w:val="000E0C24"/>
    <w:rsid w:val="000E2910"/>
    <w:rsid w:val="000E3678"/>
    <w:rsid w:val="000E3D98"/>
    <w:rsid w:val="000E42A1"/>
    <w:rsid w:val="000E5D25"/>
    <w:rsid w:val="000E7127"/>
    <w:rsid w:val="000E7418"/>
    <w:rsid w:val="000F0587"/>
    <w:rsid w:val="000F1AE6"/>
    <w:rsid w:val="000F2443"/>
    <w:rsid w:val="000F274E"/>
    <w:rsid w:val="000F27E1"/>
    <w:rsid w:val="000F330C"/>
    <w:rsid w:val="000F4953"/>
    <w:rsid w:val="000F5A28"/>
    <w:rsid w:val="000F5BBC"/>
    <w:rsid w:val="000F687B"/>
    <w:rsid w:val="000F75AD"/>
    <w:rsid w:val="000F75F1"/>
    <w:rsid w:val="000F7C86"/>
    <w:rsid w:val="0010078F"/>
    <w:rsid w:val="00102DF4"/>
    <w:rsid w:val="00111B20"/>
    <w:rsid w:val="00112C69"/>
    <w:rsid w:val="00112D51"/>
    <w:rsid w:val="00113408"/>
    <w:rsid w:val="00113C5A"/>
    <w:rsid w:val="00113E5E"/>
    <w:rsid w:val="0011458C"/>
    <w:rsid w:val="00114722"/>
    <w:rsid w:val="001169F2"/>
    <w:rsid w:val="00117D27"/>
    <w:rsid w:val="0012091C"/>
    <w:rsid w:val="00121FAB"/>
    <w:rsid w:val="0012308F"/>
    <w:rsid w:val="00126B10"/>
    <w:rsid w:val="00127396"/>
    <w:rsid w:val="00130E22"/>
    <w:rsid w:val="00131E29"/>
    <w:rsid w:val="00134A55"/>
    <w:rsid w:val="00137FDE"/>
    <w:rsid w:val="00140F96"/>
    <w:rsid w:val="00141CF1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6361E"/>
    <w:rsid w:val="00165789"/>
    <w:rsid w:val="00170309"/>
    <w:rsid w:val="001715D9"/>
    <w:rsid w:val="00172511"/>
    <w:rsid w:val="00172F1C"/>
    <w:rsid w:val="0017506A"/>
    <w:rsid w:val="00177E1C"/>
    <w:rsid w:val="00177E5E"/>
    <w:rsid w:val="0018406F"/>
    <w:rsid w:val="00184F14"/>
    <w:rsid w:val="0018525E"/>
    <w:rsid w:val="0018797C"/>
    <w:rsid w:val="00191AE8"/>
    <w:rsid w:val="00193268"/>
    <w:rsid w:val="00193655"/>
    <w:rsid w:val="00193CC3"/>
    <w:rsid w:val="00194285"/>
    <w:rsid w:val="00194945"/>
    <w:rsid w:val="001970D7"/>
    <w:rsid w:val="00197E01"/>
    <w:rsid w:val="001A085A"/>
    <w:rsid w:val="001A0CB6"/>
    <w:rsid w:val="001A1B9B"/>
    <w:rsid w:val="001A3CA7"/>
    <w:rsid w:val="001A4AA9"/>
    <w:rsid w:val="001A68C4"/>
    <w:rsid w:val="001A6ED5"/>
    <w:rsid w:val="001A7D5A"/>
    <w:rsid w:val="001A7DE3"/>
    <w:rsid w:val="001B19BC"/>
    <w:rsid w:val="001B1BBD"/>
    <w:rsid w:val="001B23C8"/>
    <w:rsid w:val="001B2BE9"/>
    <w:rsid w:val="001B306F"/>
    <w:rsid w:val="001B353C"/>
    <w:rsid w:val="001B489F"/>
    <w:rsid w:val="001B69B7"/>
    <w:rsid w:val="001C5A91"/>
    <w:rsid w:val="001C5DB0"/>
    <w:rsid w:val="001D032B"/>
    <w:rsid w:val="001D0D99"/>
    <w:rsid w:val="001D1343"/>
    <w:rsid w:val="001D4B56"/>
    <w:rsid w:val="001D5163"/>
    <w:rsid w:val="001D7A7E"/>
    <w:rsid w:val="001E2936"/>
    <w:rsid w:val="001E2B0D"/>
    <w:rsid w:val="001E476B"/>
    <w:rsid w:val="001E507C"/>
    <w:rsid w:val="001E53EB"/>
    <w:rsid w:val="001E57AB"/>
    <w:rsid w:val="001E67FF"/>
    <w:rsid w:val="001E6C4F"/>
    <w:rsid w:val="001F1A22"/>
    <w:rsid w:val="001F2C9A"/>
    <w:rsid w:val="001F4B06"/>
    <w:rsid w:val="001F5BD4"/>
    <w:rsid w:val="001F627F"/>
    <w:rsid w:val="002006D5"/>
    <w:rsid w:val="00201CD7"/>
    <w:rsid w:val="002027ED"/>
    <w:rsid w:val="00202F64"/>
    <w:rsid w:val="00206A9C"/>
    <w:rsid w:val="00212B9E"/>
    <w:rsid w:val="00212DDA"/>
    <w:rsid w:val="002147C4"/>
    <w:rsid w:val="00216EFA"/>
    <w:rsid w:val="0021765E"/>
    <w:rsid w:val="0021778F"/>
    <w:rsid w:val="00221EE4"/>
    <w:rsid w:val="002237EC"/>
    <w:rsid w:val="00224347"/>
    <w:rsid w:val="00224EAE"/>
    <w:rsid w:val="00225670"/>
    <w:rsid w:val="00226D28"/>
    <w:rsid w:val="002273F8"/>
    <w:rsid w:val="00230204"/>
    <w:rsid w:val="0023028F"/>
    <w:rsid w:val="00230A3C"/>
    <w:rsid w:val="00230B88"/>
    <w:rsid w:val="00231842"/>
    <w:rsid w:val="00231E15"/>
    <w:rsid w:val="002325C8"/>
    <w:rsid w:val="00232D93"/>
    <w:rsid w:val="00235E9D"/>
    <w:rsid w:val="0023608B"/>
    <w:rsid w:val="00236922"/>
    <w:rsid w:val="00236A18"/>
    <w:rsid w:val="00236C7C"/>
    <w:rsid w:val="00236FC4"/>
    <w:rsid w:val="00240FEC"/>
    <w:rsid w:val="0024226C"/>
    <w:rsid w:val="002423A0"/>
    <w:rsid w:val="002438EA"/>
    <w:rsid w:val="00245331"/>
    <w:rsid w:val="00246476"/>
    <w:rsid w:val="0024760D"/>
    <w:rsid w:val="002476C8"/>
    <w:rsid w:val="00252C08"/>
    <w:rsid w:val="0025356A"/>
    <w:rsid w:val="002548DB"/>
    <w:rsid w:val="00255E9C"/>
    <w:rsid w:val="00255F84"/>
    <w:rsid w:val="00256692"/>
    <w:rsid w:val="00257859"/>
    <w:rsid w:val="0026336D"/>
    <w:rsid w:val="00266BB2"/>
    <w:rsid w:val="00267F47"/>
    <w:rsid w:val="002746C8"/>
    <w:rsid w:val="00274B2A"/>
    <w:rsid w:val="00276830"/>
    <w:rsid w:val="002772EA"/>
    <w:rsid w:val="00277457"/>
    <w:rsid w:val="002804AB"/>
    <w:rsid w:val="0028058D"/>
    <w:rsid w:val="0028110E"/>
    <w:rsid w:val="0028168C"/>
    <w:rsid w:val="00282531"/>
    <w:rsid w:val="00283492"/>
    <w:rsid w:val="00283AE5"/>
    <w:rsid w:val="00283F1B"/>
    <w:rsid w:val="00284C66"/>
    <w:rsid w:val="0029073F"/>
    <w:rsid w:val="00291676"/>
    <w:rsid w:val="00291E39"/>
    <w:rsid w:val="0029280B"/>
    <w:rsid w:val="00292C1D"/>
    <w:rsid w:val="00292EC0"/>
    <w:rsid w:val="00293679"/>
    <w:rsid w:val="00296721"/>
    <w:rsid w:val="00296E4C"/>
    <w:rsid w:val="00296EFF"/>
    <w:rsid w:val="00297239"/>
    <w:rsid w:val="00297E46"/>
    <w:rsid w:val="002A0553"/>
    <w:rsid w:val="002A2D40"/>
    <w:rsid w:val="002A3111"/>
    <w:rsid w:val="002A44A9"/>
    <w:rsid w:val="002A4D2E"/>
    <w:rsid w:val="002B0AF2"/>
    <w:rsid w:val="002B0AFD"/>
    <w:rsid w:val="002B0B15"/>
    <w:rsid w:val="002B14B5"/>
    <w:rsid w:val="002B2991"/>
    <w:rsid w:val="002B3C38"/>
    <w:rsid w:val="002B5926"/>
    <w:rsid w:val="002B6FCD"/>
    <w:rsid w:val="002B72A2"/>
    <w:rsid w:val="002B7380"/>
    <w:rsid w:val="002B7901"/>
    <w:rsid w:val="002C1698"/>
    <w:rsid w:val="002C2049"/>
    <w:rsid w:val="002C50AC"/>
    <w:rsid w:val="002C5176"/>
    <w:rsid w:val="002C6682"/>
    <w:rsid w:val="002C7913"/>
    <w:rsid w:val="002D0CC4"/>
    <w:rsid w:val="002D0CD4"/>
    <w:rsid w:val="002D11C7"/>
    <w:rsid w:val="002D22C6"/>
    <w:rsid w:val="002D28A9"/>
    <w:rsid w:val="002D7CBC"/>
    <w:rsid w:val="002E3325"/>
    <w:rsid w:val="002E497E"/>
    <w:rsid w:val="002E76D1"/>
    <w:rsid w:val="002F0500"/>
    <w:rsid w:val="002F1160"/>
    <w:rsid w:val="002F7A8F"/>
    <w:rsid w:val="00301881"/>
    <w:rsid w:val="00302961"/>
    <w:rsid w:val="00303102"/>
    <w:rsid w:val="00304242"/>
    <w:rsid w:val="00307253"/>
    <w:rsid w:val="003078EB"/>
    <w:rsid w:val="00307E7E"/>
    <w:rsid w:val="00310E2F"/>
    <w:rsid w:val="00311AE0"/>
    <w:rsid w:val="00311D2E"/>
    <w:rsid w:val="003172DF"/>
    <w:rsid w:val="003177AF"/>
    <w:rsid w:val="00320015"/>
    <w:rsid w:val="00321AE8"/>
    <w:rsid w:val="00322CF1"/>
    <w:rsid w:val="00324545"/>
    <w:rsid w:val="00327439"/>
    <w:rsid w:val="003274DC"/>
    <w:rsid w:val="00327F8D"/>
    <w:rsid w:val="00327F8E"/>
    <w:rsid w:val="003301F8"/>
    <w:rsid w:val="00330746"/>
    <w:rsid w:val="00331400"/>
    <w:rsid w:val="0033156B"/>
    <w:rsid w:val="003322D8"/>
    <w:rsid w:val="003343C4"/>
    <w:rsid w:val="00334497"/>
    <w:rsid w:val="00340CA2"/>
    <w:rsid w:val="00341E98"/>
    <w:rsid w:val="00344296"/>
    <w:rsid w:val="00347B43"/>
    <w:rsid w:val="0035034F"/>
    <w:rsid w:val="003524F1"/>
    <w:rsid w:val="00352E92"/>
    <w:rsid w:val="00352F7A"/>
    <w:rsid w:val="00356DCD"/>
    <w:rsid w:val="0036129D"/>
    <w:rsid w:val="00364C9F"/>
    <w:rsid w:val="00366ABC"/>
    <w:rsid w:val="00370EB8"/>
    <w:rsid w:val="00371045"/>
    <w:rsid w:val="00371B42"/>
    <w:rsid w:val="00372ACE"/>
    <w:rsid w:val="00372D58"/>
    <w:rsid w:val="003731A5"/>
    <w:rsid w:val="003736DA"/>
    <w:rsid w:val="00373731"/>
    <w:rsid w:val="00374CFA"/>
    <w:rsid w:val="003751F0"/>
    <w:rsid w:val="0037564F"/>
    <w:rsid w:val="00382A16"/>
    <w:rsid w:val="00383735"/>
    <w:rsid w:val="00383E57"/>
    <w:rsid w:val="00384699"/>
    <w:rsid w:val="00386215"/>
    <w:rsid w:val="003866DC"/>
    <w:rsid w:val="003872AC"/>
    <w:rsid w:val="003900AC"/>
    <w:rsid w:val="00390999"/>
    <w:rsid w:val="003911D6"/>
    <w:rsid w:val="00391EEB"/>
    <w:rsid w:val="00394B7B"/>
    <w:rsid w:val="00395B87"/>
    <w:rsid w:val="00397E34"/>
    <w:rsid w:val="003A0565"/>
    <w:rsid w:val="003A0BB4"/>
    <w:rsid w:val="003A2CC7"/>
    <w:rsid w:val="003A415C"/>
    <w:rsid w:val="003A4774"/>
    <w:rsid w:val="003A68DD"/>
    <w:rsid w:val="003A7482"/>
    <w:rsid w:val="003A75FD"/>
    <w:rsid w:val="003A7DAF"/>
    <w:rsid w:val="003B397A"/>
    <w:rsid w:val="003B3BF6"/>
    <w:rsid w:val="003B4278"/>
    <w:rsid w:val="003B6B7E"/>
    <w:rsid w:val="003C0075"/>
    <w:rsid w:val="003C06F7"/>
    <w:rsid w:val="003C1594"/>
    <w:rsid w:val="003C19B7"/>
    <w:rsid w:val="003C4059"/>
    <w:rsid w:val="003C50F1"/>
    <w:rsid w:val="003C511D"/>
    <w:rsid w:val="003C5AFB"/>
    <w:rsid w:val="003C6392"/>
    <w:rsid w:val="003C681A"/>
    <w:rsid w:val="003C7010"/>
    <w:rsid w:val="003C7DAE"/>
    <w:rsid w:val="003D2083"/>
    <w:rsid w:val="003D20CC"/>
    <w:rsid w:val="003D2B0F"/>
    <w:rsid w:val="003D626C"/>
    <w:rsid w:val="003E03EB"/>
    <w:rsid w:val="003E0642"/>
    <w:rsid w:val="003E1363"/>
    <w:rsid w:val="003E450D"/>
    <w:rsid w:val="003E54FD"/>
    <w:rsid w:val="003F0943"/>
    <w:rsid w:val="003F142F"/>
    <w:rsid w:val="003F2486"/>
    <w:rsid w:val="003F2E64"/>
    <w:rsid w:val="003F6488"/>
    <w:rsid w:val="003F69CE"/>
    <w:rsid w:val="003F69D9"/>
    <w:rsid w:val="003F6F64"/>
    <w:rsid w:val="003F7813"/>
    <w:rsid w:val="00400B6B"/>
    <w:rsid w:val="004021B9"/>
    <w:rsid w:val="00402409"/>
    <w:rsid w:val="00404DB5"/>
    <w:rsid w:val="00405D0D"/>
    <w:rsid w:val="004113D5"/>
    <w:rsid w:val="004118D0"/>
    <w:rsid w:val="004125BB"/>
    <w:rsid w:val="00412819"/>
    <w:rsid w:val="0041337E"/>
    <w:rsid w:val="004177E3"/>
    <w:rsid w:val="004202CB"/>
    <w:rsid w:val="00420D53"/>
    <w:rsid w:val="004238B6"/>
    <w:rsid w:val="00424771"/>
    <w:rsid w:val="00425B35"/>
    <w:rsid w:val="00427801"/>
    <w:rsid w:val="0043115E"/>
    <w:rsid w:val="00431E52"/>
    <w:rsid w:val="00433AB4"/>
    <w:rsid w:val="0043546F"/>
    <w:rsid w:val="004428A1"/>
    <w:rsid w:val="00443C2E"/>
    <w:rsid w:val="004444B6"/>
    <w:rsid w:val="00445D92"/>
    <w:rsid w:val="00447E3C"/>
    <w:rsid w:val="0045291A"/>
    <w:rsid w:val="00452BD8"/>
    <w:rsid w:val="004539E4"/>
    <w:rsid w:val="004544F8"/>
    <w:rsid w:val="00454D44"/>
    <w:rsid w:val="00455259"/>
    <w:rsid w:val="00455A3C"/>
    <w:rsid w:val="0046155B"/>
    <w:rsid w:val="004634EE"/>
    <w:rsid w:val="00463E8F"/>
    <w:rsid w:val="00464475"/>
    <w:rsid w:val="00466116"/>
    <w:rsid w:val="00467BA4"/>
    <w:rsid w:val="004705A5"/>
    <w:rsid w:val="0047156B"/>
    <w:rsid w:val="004715F4"/>
    <w:rsid w:val="0047275D"/>
    <w:rsid w:val="00475575"/>
    <w:rsid w:val="004761F2"/>
    <w:rsid w:val="00480C04"/>
    <w:rsid w:val="00480E25"/>
    <w:rsid w:val="00483678"/>
    <w:rsid w:val="00484077"/>
    <w:rsid w:val="00484668"/>
    <w:rsid w:val="004846D8"/>
    <w:rsid w:val="0048487F"/>
    <w:rsid w:val="004863EC"/>
    <w:rsid w:val="00487542"/>
    <w:rsid w:val="0049074E"/>
    <w:rsid w:val="004907F4"/>
    <w:rsid w:val="00493172"/>
    <w:rsid w:val="0049538C"/>
    <w:rsid w:val="004955BB"/>
    <w:rsid w:val="004A0EA9"/>
    <w:rsid w:val="004A3533"/>
    <w:rsid w:val="004A3C5B"/>
    <w:rsid w:val="004A461C"/>
    <w:rsid w:val="004A4780"/>
    <w:rsid w:val="004A47DC"/>
    <w:rsid w:val="004A52B6"/>
    <w:rsid w:val="004B25A0"/>
    <w:rsid w:val="004B29BE"/>
    <w:rsid w:val="004B366C"/>
    <w:rsid w:val="004B3A45"/>
    <w:rsid w:val="004B4063"/>
    <w:rsid w:val="004B4F7D"/>
    <w:rsid w:val="004B4F84"/>
    <w:rsid w:val="004B5505"/>
    <w:rsid w:val="004B55E8"/>
    <w:rsid w:val="004B5CB6"/>
    <w:rsid w:val="004C1341"/>
    <w:rsid w:val="004C21C9"/>
    <w:rsid w:val="004C2FA8"/>
    <w:rsid w:val="004C3497"/>
    <w:rsid w:val="004C352C"/>
    <w:rsid w:val="004C3BA7"/>
    <w:rsid w:val="004C5035"/>
    <w:rsid w:val="004C5F47"/>
    <w:rsid w:val="004C7E96"/>
    <w:rsid w:val="004C7EA7"/>
    <w:rsid w:val="004D1014"/>
    <w:rsid w:val="004D3633"/>
    <w:rsid w:val="004D66DB"/>
    <w:rsid w:val="004E1CB1"/>
    <w:rsid w:val="004E2D7E"/>
    <w:rsid w:val="004E4B6A"/>
    <w:rsid w:val="004E6300"/>
    <w:rsid w:val="004F1DDB"/>
    <w:rsid w:val="004F2995"/>
    <w:rsid w:val="004F324F"/>
    <w:rsid w:val="004F4064"/>
    <w:rsid w:val="004F5136"/>
    <w:rsid w:val="004F688F"/>
    <w:rsid w:val="004F74B4"/>
    <w:rsid w:val="004F7624"/>
    <w:rsid w:val="005007C8"/>
    <w:rsid w:val="005021C7"/>
    <w:rsid w:val="00502D84"/>
    <w:rsid w:val="00505FAA"/>
    <w:rsid w:val="00506095"/>
    <w:rsid w:val="00506ACA"/>
    <w:rsid w:val="00506CD0"/>
    <w:rsid w:val="005107FD"/>
    <w:rsid w:val="00510980"/>
    <w:rsid w:val="00511B34"/>
    <w:rsid w:val="00512AEC"/>
    <w:rsid w:val="00512D81"/>
    <w:rsid w:val="0051504C"/>
    <w:rsid w:val="005172B1"/>
    <w:rsid w:val="005206E2"/>
    <w:rsid w:val="00521ADE"/>
    <w:rsid w:val="0052268E"/>
    <w:rsid w:val="0052280A"/>
    <w:rsid w:val="005248D0"/>
    <w:rsid w:val="00524BC3"/>
    <w:rsid w:val="00525B77"/>
    <w:rsid w:val="0053070C"/>
    <w:rsid w:val="005314DF"/>
    <w:rsid w:val="005331B5"/>
    <w:rsid w:val="00534D3B"/>
    <w:rsid w:val="005351B3"/>
    <w:rsid w:val="005400A5"/>
    <w:rsid w:val="005420B4"/>
    <w:rsid w:val="005437B4"/>
    <w:rsid w:val="0054471F"/>
    <w:rsid w:val="00544A64"/>
    <w:rsid w:val="005459F5"/>
    <w:rsid w:val="00545B68"/>
    <w:rsid w:val="00546CB9"/>
    <w:rsid w:val="00546DF7"/>
    <w:rsid w:val="0055121B"/>
    <w:rsid w:val="00551751"/>
    <w:rsid w:val="00552B6E"/>
    <w:rsid w:val="005545A5"/>
    <w:rsid w:val="00555D64"/>
    <w:rsid w:val="00556D4F"/>
    <w:rsid w:val="00557A71"/>
    <w:rsid w:val="00560AED"/>
    <w:rsid w:val="005615FA"/>
    <w:rsid w:val="0056231D"/>
    <w:rsid w:val="005623DD"/>
    <w:rsid w:val="00563B23"/>
    <w:rsid w:val="0056452E"/>
    <w:rsid w:val="005656FB"/>
    <w:rsid w:val="00567010"/>
    <w:rsid w:val="005678EB"/>
    <w:rsid w:val="00570CA6"/>
    <w:rsid w:val="00570F18"/>
    <w:rsid w:val="0057123D"/>
    <w:rsid w:val="005720AF"/>
    <w:rsid w:val="0057387E"/>
    <w:rsid w:val="00573CC7"/>
    <w:rsid w:val="0057613C"/>
    <w:rsid w:val="00576443"/>
    <w:rsid w:val="00583941"/>
    <w:rsid w:val="005847DC"/>
    <w:rsid w:val="005856EF"/>
    <w:rsid w:val="00585CC6"/>
    <w:rsid w:val="005908A9"/>
    <w:rsid w:val="00590FA2"/>
    <w:rsid w:val="00591893"/>
    <w:rsid w:val="00592351"/>
    <w:rsid w:val="00593457"/>
    <w:rsid w:val="00594851"/>
    <w:rsid w:val="00594C42"/>
    <w:rsid w:val="00594CEF"/>
    <w:rsid w:val="00596841"/>
    <w:rsid w:val="0059684A"/>
    <w:rsid w:val="005A0345"/>
    <w:rsid w:val="005A0903"/>
    <w:rsid w:val="005A1633"/>
    <w:rsid w:val="005A16B9"/>
    <w:rsid w:val="005A2203"/>
    <w:rsid w:val="005A25B7"/>
    <w:rsid w:val="005A26EE"/>
    <w:rsid w:val="005A33F3"/>
    <w:rsid w:val="005A3C0F"/>
    <w:rsid w:val="005A3EC1"/>
    <w:rsid w:val="005A5AB1"/>
    <w:rsid w:val="005A658B"/>
    <w:rsid w:val="005B1B79"/>
    <w:rsid w:val="005B24EA"/>
    <w:rsid w:val="005B2F2A"/>
    <w:rsid w:val="005B33DF"/>
    <w:rsid w:val="005B55C1"/>
    <w:rsid w:val="005B6F85"/>
    <w:rsid w:val="005C00A9"/>
    <w:rsid w:val="005C20F7"/>
    <w:rsid w:val="005C22F8"/>
    <w:rsid w:val="005C4078"/>
    <w:rsid w:val="005C5039"/>
    <w:rsid w:val="005C5B2D"/>
    <w:rsid w:val="005C74D1"/>
    <w:rsid w:val="005C7C7C"/>
    <w:rsid w:val="005C7FC0"/>
    <w:rsid w:val="005D0735"/>
    <w:rsid w:val="005D1C98"/>
    <w:rsid w:val="005D37B5"/>
    <w:rsid w:val="005D3B85"/>
    <w:rsid w:val="005D3F78"/>
    <w:rsid w:val="005D49F1"/>
    <w:rsid w:val="005D5B6F"/>
    <w:rsid w:val="005D6494"/>
    <w:rsid w:val="005D72C2"/>
    <w:rsid w:val="005D79E1"/>
    <w:rsid w:val="005D7C68"/>
    <w:rsid w:val="005E1A38"/>
    <w:rsid w:val="005E2179"/>
    <w:rsid w:val="005E27A3"/>
    <w:rsid w:val="005E2AA8"/>
    <w:rsid w:val="005E45D5"/>
    <w:rsid w:val="005E616C"/>
    <w:rsid w:val="005E6624"/>
    <w:rsid w:val="005E66A3"/>
    <w:rsid w:val="005F34DA"/>
    <w:rsid w:val="006031EF"/>
    <w:rsid w:val="0060337A"/>
    <w:rsid w:val="006044C8"/>
    <w:rsid w:val="00604C17"/>
    <w:rsid w:val="006058F1"/>
    <w:rsid w:val="006108D1"/>
    <w:rsid w:val="00611055"/>
    <w:rsid w:val="00611687"/>
    <w:rsid w:val="00612491"/>
    <w:rsid w:val="00613269"/>
    <w:rsid w:val="00614F7E"/>
    <w:rsid w:val="0061601E"/>
    <w:rsid w:val="00617053"/>
    <w:rsid w:val="00617E2A"/>
    <w:rsid w:val="00620ECE"/>
    <w:rsid w:val="0062106A"/>
    <w:rsid w:val="006226CD"/>
    <w:rsid w:val="00622E77"/>
    <w:rsid w:val="00623758"/>
    <w:rsid w:val="0062398C"/>
    <w:rsid w:val="00624AE2"/>
    <w:rsid w:val="00624DDA"/>
    <w:rsid w:val="00627B44"/>
    <w:rsid w:val="00627C23"/>
    <w:rsid w:val="006305EF"/>
    <w:rsid w:val="00631992"/>
    <w:rsid w:val="00632705"/>
    <w:rsid w:val="00640475"/>
    <w:rsid w:val="006404A9"/>
    <w:rsid w:val="006419BA"/>
    <w:rsid w:val="00641D35"/>
    <w:rsid w:val="00641F34"/>
    <w:rsid w:val="00642A36"/>
    <w:rsid w:val="006437A9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0480"/>
    <w:rsid w:val="00661FF2"/>
    <w:rsid w:val="00662C87"/>
    <w:rsid w:val="0066345D"/>
    <w:rsid w:val="00670027"/>
    <w:rsid w:val="00675EB3"/>
    <w:rsid w:val="00676843"/>
    <w:rsid w:val="00676BD2"/>
    <w:rsid w:val="00677228"/>
    <w:rsid w:val="006801CA"/>
    <w:rsid w:val="00680B56"/>
    <w:rsid w:val="00680C92"/>
    <w:rsid w:val="00682099"/>
    <w:rsid w:val="00682746"/>
    <w:rsid w:val="00683717"/>
    <w:rsid w:val="00684132"/>
    <w:rsid w:val="006844B9"/>
    <w:rsid w:val="00685B75"/>
    <w:rsid w:val="006867CC"/>
    <w:rsid w:val="00690740"/>
    <w:rsid w:val="00690C50"/>
    <w:rsid w:val="00692EE8"/>
    <w:rsid w:val="0069454C"/>
    <w:rsid w:val="00694CCF"/>
    <w:rsid w:val="00694D57"/>
    <w:rsid w:val="0069509B"/>
    <w:rsid w:val="00696362"/>
    <w:rsid w:val="006A04AE"/>
    <w:rsid w:val="006A0E52"/>
    <w:rsid w:val="006A25B4"/>
    <w:rsid w:val="006A30DB"/>
    <w:rsid w:val="006A3949"/>
    <w:rsid w:val="006A4A62"/>
    <w:rsid w:val="006A5942"/>
    <w:rsid w:val="006A7552"/>
    <w:rsid w:val="006B01B9"/>
    <w:rsid w:val="006B0439"/>
    <w:rsid w:val="006B0D10"/>
    <w:rsid w:val="006B0EC2"/>
    <w:rsid w:val="006B13D4"/>
    <w:rsid w:val="006B3ABE"/>
    <w:rsid w:val="006B4884"/>
    <w:rsid w:val="006B4A52"/>
    <w:rsid w:val="006B5383"/>
    <w:rsid w:val="006B6A37"/>
    <w:rsid w:val="006B6D68"/>
    <w:rsid w:val="006B6F61"/>
    <w:rsid w:val="006C4633"/>
    <w:rsid w:val="006C5636"/>
    <w:rsid w:val="006C6C67"/>
    <w:rsid w:val="006C79D3"/>
    <w:rsid w:val="006D0805"/>
    <w:rsid w:val="006D0AA8"/>
    <w:rsid w:val="006D2153"/>
    <w:rsid w:val="006D4517"/>
    <w:rsid w:val="006D5F3A"/>
    <w:rsid w:val="006D6BCD"/>
    <w:rsid w:val="006D7B5A"/>
    <w:rsid w:val="006E1E9E"/>
    <w:rsid w:val="006E4279"/>
    <w:rsid w:val="006E4913"/>
    <w:rsid w:val="006E5555"/>
    <w:rsid w:val="006E5B47"/>
    <w:rsid w:val="006E78BA"/>
    <w:rsid w:val="006E7DAC"/>
    <w:rsid w:val="006F15CC"/>
    <w:rsid w:val="006F1CCA"/>
    <w:rsid w:val="006F2C0E"/>
    <w:rsid w:val="006F4F09"/>
    <w:rsid w:val="006F640B"/>
    <w:rsid w:val="0070043C"/>
    <w:rsid w:val="007046FB"/>
    <w:rsid w:val="00705A61"/>
    <w:rsid w:val="00710424"/>
    <w:rsid w:val="007109F6"/>
    <w:rsid w:val="007133CB"/>
    <w:rsid w:val="00713F83"/>
    <w:rsid w:val="00715F45"/>
    <w:rsid w:val="00716604"/>
    <w:rsid w:val="0071719A"/>
    <w:rsid w:val="0071726D"/>
    <w:rsid w:val="007176A7"/>
    <w:rsid w:val="007178FF"/>
    <w:rsid w:val="007204B4"/>
    <w:rsid w:val="00720781"/>
    <w:rsid w:val="00722B07"/>
    <w:rsid w:val="00722BC9"/>
    <w:rsid w:val="00723632"/>
    <w:rsid w:val="007238DA"/>
    <w:rsid w:val="00725052"/>
    <w:rsid w:val="00725C3B"/>
    <w:rsid w:val="00725F39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2FD0"/>
    <w:rsid w:val="007432EF"/>
    <w:rsid w:val="00743FE9"/>
    <w:rsid w:val="00745DD0"/>
    <w:rsid w:val="00746455"/>
    <w:rsid w:val="00746F96"/>
    <w:rsid w:val="00750405"/>
    <w:rsid w:val="00751546"/>
    <w:rsid w:val="007541CE"/>
    <w:rsid w:val="007545E5"/>
    <w:rsid w:val="00755577"/>
    <w:rsid w:val="00756B91"/>
    <w:rsid w:val="00757E96"/>
    <w:rsid w:val="00760A86"/>
    <w:rsid w:val="0076741B"/>
    <w:rsid w:val="00770C0E"/>
    <w:rsid w:val="00771D19"/>
    <w:rsid w:val="0077277F"/>
    <w:rsid w:val="00774584"/>
    <w:rsid w:val="007747BE"/>
    <w:rsid w:val="00781625"/>
    <w:rsid w:val="00781792"/>
    <w:rsid w:val="00781A3A"/>
    <w:rsid w:val="00782512"/>
    <w:rsid w:val="007826B4"/>
    <w:rsid w:val="0078405C"/>
    <w:rsid w:val="00785A6D"/>
    <w:rsid w:val="00786B68"/>
    <w:rsid w:val="007915AD"/>
    <w:rsid w:val="00792CC3"/>
    <w:rsid w:val="007947C6"/>
    <w:rsid w:val="00794CF3"/>
    <w:rsid w:val="00794E4C"/>
    <w:rsid w:val="00795109"/>
    <w:rsid w:val="0079614E"/>
    <w:rsid w:val="007A0160"/>
    <w:rsid w:val="007A027B"/>
    <w:rsid w:val="007A3937"/>
    <w:rsid w:val="007A40C6"/>
    <w:rsid w:val="007A4F20"/>
    <w:rsid w:val="007A6AA0"/>
    <w:rsid w:val="007A6B19"/>
    <w:rsid w:val="007B3045"/>
    <w:rsid w:val="007B49DF"/>
    <w:rsid w:val="007B4B6D"/>
    <w:rsid w:val="007B5296"/>
    <w:rsid w:val="007B655B"/>
    <w:rsid w:val="007B67AD"/>
    <w:rsid w:val="007B7639"/>
    <w:rsid w:val="007C00BA"/>
    <w:rsid w:val="007C18F2"/>
    <w:rsid w:val="007C1AC1"/>
    <w:rsid w:val="007C1FEC"/>
    <w:rsid w:val="007C46D1"/>
    <w:rsid w:val="007C5731"/>
    <w:rsid w:val="007C730D"/>
    <w:rsid w:val="007C7393"/>
    <w:rsid w:val="007D391B"/>
    <w:rsid w:val="007D3B29"/>
    <w:rsid w:val="007D5CD8"/>
    <w:rsid w:val="007D6974"/>
    <w:rsid w:val="007D7780"/>
    <w:rsid w:val="007E06B8"/>
    <w:rsid w:val="007E0A4B"/>
    <w:rsid w:val="007E326A"/>
    <w:rsid w:val="007E3EDF"/>
    <w:rsid w:val="007E4CDB"/>
    <w:rsid w:val="007E541D"/>
    <w:rsid w:val="007F1637"/>
    <w:rsid w:val="007F1B11"/>
    <w:rsid w:val="007F1FBA"/>
    <w:rsid w:val="007F4ABD"/>
    <w:rsid w:val="007F7212"/>
    <w:rsid w:val="007F74CA"/>
    <w:rsid w:val="007F7B5C"/>
    <w:rsid w:val="00800307"/>
    <w:rsid w:val="00800365"/>
    <w:rsid w:val="00800399"/>
    <w:rsid w:val="008014EC"/>
    <w:rsid w:val="0080235B"/>
    <w:rsid w:val="008029BA"/>
    <w:rsid w:val="008075EA"/>
    <w:rsid w:val="008111C3"/>
    <w:rsid w:val="00812CF5"/>
    <w:rsid w:val="00813471"/>
    <w:rsid w:val="00814198"/>
    <w:rsid w:val="00814390"/>
    <w:rsid w:val="00814679"/>
    <w:rsid w:val="00814849"/>
    <w:rsid w:val="00821F46"/>
    <w:rsid w:val="00822050"/>
    <w:rsid w:val="00822B92"/>
    <w:rsid w:val="00825653"/>
    <w:rsid w:val="00825D4F"/>
    <w:rsid w:val="00827DBA"/>
    <w:rsid w:val="00830D57"/>
    <w:rsid w:val="00832A31"/>
    <w:rsid w:val="00835916"/>
    <w:rsid w:val="0083650C"/>
    <w:rsid w:val="0084045B"/>
    <w:rsid w:val="00841B72"/>
    <w:rsid w:val="0084658D"/>
    <w:rsid w:val="0084695E"/>
    <w:rsid w:val="00850166"/>
    <w:rsid w:val="00850650"/>
    <w:rsid w:val="00851E91"/>
    <w:rsid w:val="008524C4"/>
    <w:rsid w:val="0085268C"/>
    <w:rsid w:val="00854ABD"/>
    <w:rsid w:val="00856ED6"/>
    <w:rsid w:val="00861070"/>
    <w:rsid w:val="00862CAD"/>
    <w:rsid w:val="00864A50"/>
    <w:rsid w:val="00865C11"/>
    <w:rsid w:val="00866290"/>
    <w:rsid w:val="00866978"/>
    <w:rsid w:val="00866D9F"/>
    <w:rsid w:val="00871D3C"/>
    <w:rsid w:val="00872129"/>
    <w:rsid w:val="00872D1B"/>
    <w:rsid w:val="00872DC6"/>
    <w:rsid w:val="008730BC"/>
    <w:rsid w:val="00874D66"/>
    <w:rsid w:val="0087590B"/>
    <w:rsid w:val="00877A7A"/>
    <w:rsid w:val="00877D54"/>
    <w:rsid w:val="00880394"/>
    <w:rsid w:val="0088208A"/>
    <w:rsid w:val="00882EAC"/>
    <w:rsid w:val="0088306B"/>
    <w:rsid w:val="00883B41"/>
    <w:rsid w:val="008874FC"/>
    <w:rsid w:val="0088798F"/>
    <w:rsid w:val="00890B69"/>
    <w:rsid w:val="0089248A"/>
    <w:rsid w:val="008933DC"/>
    <w:rsid w:val="008936B3"/>
    <w:rsid w:val="00893890"/>
    <w:rsid w:val="00894515"/>
    <w:rsid w:val="008958D8"/>
    <w:rsid w:val="008976A7"/>
    <w:rsid w:val="008A0E63"/>
    <w:rsid w:val="008A114F"/>
    <w:rsid w:val="008A2257"/>
    <w:rsid w:val="008A33CE"/>
    <w:rsid w:val="008B1F88"/>
    <w:rsid w:val="008B298E"/>
    <w:rsid w:val="008B2B89"/>
    <w:rsid w:val="008B31AB"/>
    <w:rsid w:val="008B31D3"/>
    <w:rsid w:val="008B333F"/>
    <w:rsid w:val="008B383F"/>
    <w:rsid w:val="008B38AD"/>
    <w:rsid w:val="008B3FBF"/>
    <w:rsid w:val="008B44DA"/>
    <w:rsid w:val="008B4A06"/>
    <w:rsid w:val="008B5C9A"/>
    <w:rsid w:val="008B5CEA"/>
    <w:rsid w:val="008B694C"/>
    <w:rsid w:val="008C00E7"/>
    <w:rsid w:val="008C0F42"/>
    <w:rsid w:val="008C1EF2"/>
    <w:rsid w:val="008C3B68"/>
    <w:rsid w:val="008C5253"/>
    <w:rsid w:val="008C5686"/>
    <w:rsid w:val="008C65AC"/>
    <w:rsid w:val="008C6BFB"/>
    <w:rsid w:val="008C6D1F"/>
    <w:rsid w:val="008C7321"/>
    <w:rsid w:val="008C74DA"/>
    <w:rsid w:val="008C7C59"/>
    <w:rsid w:val="008D094A"/>
    <w:rsid w:val="008D1E99"/>
    <w:rsid w:val="008D6465"/>
    <w:rsid w:val="008E150C"/>
    <w:rsid w:val="008E1EFC"/>
    <w:rsid w:val="008E4F5C"/>
    <w:rsid w:val="008E58BF"/>
    <w:rsid w:val="008F0512"/>
    <w:rsid w:val="008F1A81"/>
    <w:rsid w:val="008F3B73"/>
    <w:rsid w:val="008F7D0D"/>
    <w:rsid w:val="00900CE5"/>
    <w:rsid w:val="00902C6A"/>
    <w:rsid w:val="00904CA9"/>
    <w:rsid w:val="00905911"/>
    <w:rsid w:val="00906476"/>
    <w:rsid w:val="00906A9A"/>
    <w:rsid w:val="00907061"/>
    <w:rsid w:val="00907834"/>
    <w:rsid w:val="0090788B"/>
    <w:rsid w:val="009079B2"/>
    <w:rsid w:val="009118A0"/>
    <w:rsid w:val="00913D48"/>
    <w:rsid w:val="009145F6"/>
    <w:rsid w:val="00917246"/>
    <w:rsid w:val="00917547"/>
    <w:rsid w:val="0091759A"/>
    <w:rsid w:val="00920540"/>
    <w:rsid w:val="00920F36"/>
    <w:rsid w:val="00922697"/>
    <w:rsid w:val="00922F8C"/>
    <w:rsid w:val="0092325A"/>
    <w:rsid w:val="00924BD8"/>
    <w:rsid w:val="009262FA"/>
    <w:rsid w:val="00927A82"/>
    <w:rsid w:val="009314DA"/>
    <w:rsid w:val="00931700"/>
    <w:rsid w:val="00933951"/>
    <w:rsid w:val="00935B43"/>
    <w:rsid w:val="009364E2"/>
    <w:rsid w:val="009371D6"/>
    <w:rsid w:val="00937BFF"/>
    <w:rsid w:val="009410FA"/>
    <w:rsid w:val="009430F7"/>
    <w:rsid w:val="00945D30"/>
    <w:rsid w:val="00946916"/>
    <w:rsid w:val="00947045"/>
    <w:rsid w:val="009475A6"/>
    <w:rsid w:val="00950C28"/>
    <w:rsid w:val="00951993"/>
    <w:rsid w:val="0095216E"/>
    <w:rsid w:val="00953E57"/>
    <w:rsid w:val="00954CC0"/>
    <w:rsid w:val="00955C25"/>
    <w:rsid w:val="00956BB5"/>
    <w:rsid w:val="00957676"/>
    <w:rsid w:val="009621B2"/>
    <w:rsid w:val="00963A1A"/>
    <w:rsid w:val="00963E1E"/>
    <w:rsid w:val="00964590"/>
    <w:rsid w:val="0096654A"/>
    <w:rsid w:val="009677E3"/>
    <w:rsid w:val="00971187"/>
    <w:rsid w:val="00971196"/>
    <w:rsid w:val="00973755"/>
    <w:rsid w:val="00980736"/>
    <w:rsid w:val="00981704"/>
    <w:rsid w:val="0098182C"/>
    <w:rsid w:val="00983F39"/>
    <w:rsid w:val="00984390"/>
    <w:rsid w:val="00985839"/>
    <w:rsid w:val="00992952"/>
    <w:rsid w:val="00992D61"/>
    <w:rsid w:val="00995C91"/>
    <w:rsid w:val="00995EE7"/>
    <w:rsid w:val="00996652"/>
    <w:rsid w:val="00996BF1"/>
    <w:rsid w:val="00997009"/>
    <w:rsid w:val="0099745E"/>
    <w:rsid w:val="009A03A3"/>
    <w:rsid w:val="009A2ACF"/>
    <w:rsid w:val="009A481E"/>
    <w:rsid w:val="009A5D1F"/>
    <w:rsid w:val="009B06F1"/>
    <w:rsid w:val="009B3397"/>
    <w:rsid w:val="009B34F2"/>
    <w:rsid w:val="009B3C36"/>
    <w:rsid w:val="009B51E3"/>
    <w:rsid w:val="009B5654"/>
    <w:rsid w:val="009B7220"/>
    <w:rsid w:val="009B76CB"/>
    <w:rsid w:val="009B7D6C"/>
    <w:rsid w:val="009C04EB"/>
    <w:rsid w:val="009C1AD6"/>
    <w:rsid w:val="009C28E1"/>
    <w:rsid w:val="009C2915"/>
    <w:rsid w:val="009C2E55"/>
    <w:rsid w:val="009C3D06"/>
    <w:rsid w:val="009C3DB4"/>
    <w:rsid w:val="009C3F13"/>
    <w:rsid w:val="009C43FC"/>
    <w:rsid w:val="009C5A80"/>
    <w:rsid w:val="009C5F03"/>
    <w:rsid w:val="009C7C8F"/>
    <w:rsid w:val="009D0450"/>
    <w:rsid w:val="009D1594"/>
    <w:rsid w:val="009D1FBA"/>
    <w:rsid w:val="009D332F"/>
    <w:rsid w:val="009D580B"/>
    <w:rsid w:val="009D6294"/>
    <w:rsid w:val="009E05B6"/>
    <w:rsid w:val="009E590F"/>
    <w:rsid w:val="009E6ACF"/>
    <w:rsid w:val="009F0C32"/>
    <w:rsid w:val="009F461F"/>
    <w:rsid w:val="00A006D3"/>
    <w:rsid w:val="00A01305"/>
    <w:rsid w:val="00A01EEF"/>
    <w:rsid w:val="00A0259C"/>
    <w:rsid w:val="00A036CB"/>
    <w:rsid w:val="00A0546A"/>
    <w:rsid w:val="00A061CA"/>
    <w:rsid w:val="00A06AAA"/>
    <w:rsid w:val="00A07A49"/>
    <w:rsid w:val="00A10E38"/>
    <w:rsid w:val="00A12ECE"/>
    <w:rsid w:val="00A135B3"/>
    <w:rsid w:val="00A1434D"/>
    <w:rsid w:val="00A14953"/>
    <w:rsid w:val="00A167B9"/>
    <w:rsid w:val="00A16CDB"/>
    <w:rsid w:val="00A176A1"/>
    <w:rsid w:val="00A17DB5"/>
    <w:rsid w:val="00A20A09"/>
    <w:rsid w:val="00A20C64"/>
    <w:rsid w:val="00A22A14"/>
    <w:rsid w:val="00A23526"/>
    <w:rsid w:val="00A27149"/>
    <w:rsid w:val="00A2793B"/>
    <w:rsid w:val="00A30105"/>
    <w:rsid w:val="00A31ADE"/>
    <w:rsid w:val="00A348D2"/>
    <w:rsid w:val="00A35D3C"/>
    <w:rsid w:val="00A3616F"/>
    <w:rsid w:val="00A377FE"/>
    <w:rsid w:val="00A41C95"/>
    <w:rsid w:val="00A43393"/>
    <w:rsid w:val="00A442F1"/>
    <w:rsid w:val="00A46ABD"/>
    <w:rsid w:val="00A46C18"/>
    <w:rsid w:val="00A470CE"/>
    <w:rsid w:val="00A50344"/>
    <w:rsid w:val="00A503E9"/>
    <w:rsid w:val="00A50E65"/>
    <w:rsid w:val="00A52058"/>
    <w:rsid w:val="00A52E2E"/>
    <w:rsid w:val="00A55536"/>
    <w:rsid w:val="00A5613C"/>
    <w:rsid w:val="00A570EE"/>
    <w:rsid w:val="00A57C48"/>
    <w:rsid w:val="00A57EB2"/>
    <w:rsid w:val="00A608F5"/>
    <w:rsid w:val="00A62463"/>
    <w:rsid w:val="00A6391E"/>
    <w:rsid w:val="00A63C0B"/>
    <w:rsid w:val="00A649D3"/>
    <w:rsid w:val="00A656FD"/>
    <w:rsid w:val="00A6645C"/>
    <w:rsid w:val="00A66A68"/>
    <w:rsid w:val="00A67837"/>
    <w:rsid w:val="00A70863"/>
    <w:rsid w:val="00A727FC"/>
    <w:rsid w:val="00A72E35"/>
    <w:rsid w:val="00A7300A"/>
    <w:rsid w:val="00A7414F"/>
    <w:rsid w:val="00A7627C"/>
    <w:rsid w:val="00A81405"/>
    <w:rsid w:val="00A82114"/>
    <w:rsid w:val="00A82FF0"/>
    <w:rsid w:val="00A83207"/>
    <w:rsid w:val="00A83BED"/>
    <w:rsid w:val="00A8488F"/>
    <w:rsid w:val="00A85DA3"/>
    <w:rsid w:val="00A92670"/>
    <w:rsid w:val="00A96434"/>
    <w:rsid w:val="00AA2944"/>
    <w:rsid w:val="00AA3179"/>
    <w:rsid w:val="00AB0B41"/>
    <w:rsid w:val="00AB1635"/>
    <w:rsid w:val="00AB297D"/>
    <w:rsid w:val="00AB759C"/>
    <w:rsid w:val="00AB7830"/>
    <w:rsid w:val="00AC031E"/>
    <w:rsid w:val="00AC31F2"/>
    <w:rsid w:val="00AC35C4"/>
    <w:rsid w:val="00AC3DCF"/>
    <w:rsid w:val="00AC4154"/>
    <w:rsid w:val="00AC587E"/>
    <w:rsid w:val="00AD1058"/>
    <w:rsid w:val="00AD18B4"/>
    <w:rsid w:val="00AD4FB0"/>
    <w:rsid w:val="00AD7F13"/>
    <w:rsid w:val="00AE117D"/>
    <w:rsid w:val="00AE1842"/>
    <w:rsid w:val="00AE1843"/>
    <w:rsid w:val="00AE23F9"/>
    <w:rsid w:val="00AE2430"/>
    <w:rsid w:val="00AE4000"/>
    <w:rsid w:val="00AE52CE"/>
    <w:rsid w:val="00AE5452"/>
    <w:rsid w:val="00AE5EF5"/>
    <w:rsid w:val="00AE6188"/>
    <w:rsid w:val="00AE7AF0"/>
    <w:rsid w:val="00AF4AE5"/>
    <w:rsid w:val="00AF5D1E"/>
    <w:rsid w:val="00AF6D11"/>
    <w:rsid w:val="00B01B17"/>
    <w:rsid w:val="00B04103"/>
    <w:rsid w:val="00B047E9"/>
    <w:rsid w:val="00B05867"/>
    <w:rsid w:val="00B07BDD"/>
    <w:rsid w:val="00B10EC0"/>
    <w:rsid w:val="00B123FF"/>
    <w:rsid w:val="00B134B6"/>
    <w:rsid w:val="00B142F4"/>
    <w:rsid w:val="00B16061"/>
    <w:rsid w:val="00B1645D"/>
    <w:rsid w:val="00B16CC2"/>
    <w:rsid w:val="00B17C66"/>
    <w:rsid w:val="00B17DAF"/>
    <w:rsid w:val="00B17E1E"/>
    <w:rsid w:val="00B21C56"/>
    <w:rsid w:val="00B24AE7"/>
    <w:rsid w:val="00B25103"/>
    <w:rsid w:val="00B27A8F"/>
    <w:rsid w:val="00B27B2E"/>
    <w:rsid w:val="00B31D2B"/>
    <w:rsid w:val="00B31E2C"/>
    <w:rsid w:val="00B32E44"/>
    <w:rsid w:val="00B336AA"/>
    <w:rsid w:val="00B34173"/>
    <w:rsid w:val="00B362ED"/>
    <w:rsid w:val="00B4166B"/>
    <w:rsid w:val="00B418ED"/>
    <w:rsid w:val="00B42554"/>
    <w:rsid w:val="00B42703"/>
    <w:rsid w:val="00B43502"/>
    <w:rsid w:val="00B4391E"/>
    <w:rsid w:val="00B43ED0"/>
    <w:rsid w:val="00B45081"/>
    <w:rsid w:val="00B4549F"/>
    <w:rsid w:val="00B46290"/>
    <w:rsid w:val="00B46384"/>
    <w:rsid w:val="00B503D0"/>
    <w:rsid w:val="00B513B4"/>
    <w:rsid w:val="00B514DC"/>
    <w:rsid w:val="00B522AA"/>
    <w:rsid w:val="00B60A84"/>
    <w:rsid w:val="00B60AED"/>
    <w:rsid w:val="00B60B0D"/>
    <w:rsid w:val="00B627D5"/>
    <w:rsid w:val="00B62AB3"/>
    <w:rsid w:val="00B63B5B"/>
    <w:rsid w:val="00B64E9D"/>
    <w:rsid w:val="00B678D4"/>
    <w:rsid w:val="00B708E8"/>
    <w:rsid w:val="00B734FD"/>
    <w:rsid w:val="00B7404A"/>
    <w:rsid w:val="00B75AC6"/>
    <w:rsid w:val="00B8144B"/>
    <w:rsid w:val="00B81F91"/>
    <w:rsid w:val="00B839BA"/>
    <w:rsid w:val="00B8685C"/>
    <w:rsid w:val="00B86A2D"/>
    <w:rsid w:val="00B86C35"/>
    <w:rsid w:val="00B86DD8"/>
    <w:rsid w:val="00B87C14"/>
    <w:rsid w:val="00B92703"/>
    <w:rsid w:val="00B93072"/>
    <w:rsid w:val="00B94EFB"/>
    <w:rsid w:val="00B9564E"/>
    <w:rsid w:val="00B96525"/>
    <w:rsid w:val="00B97C18"/>
    <w:rsid w:val="00B97EC1"/>
    <w:rsid w:val="00BA1692"/>
    <w:rsid w:val="00BA1BBA"/>
    <w:rsid w:val="00BA2267"/>
    <w:rsid w:val="00BA2E58"/>
    <w:rsid w:val="00BA3C49"/>
    <w:rsid w:val="00BA54F1"/>
    <w:rsid w:val="00BA7A87"/>
    <w:rsid w:val="00BB07FC"/>
    <w:rsid w:val="00BB0B67"/>
    <w:rsid w:val="00BB2970"/>
    <w:rsid w:val="00BC34F6"/>
    <w:rsid w:val="00BC4EF0"/>
    <w:rsid w:val="00BC6E99"/>
    <w:rsid w:val="00BC7C00"/>
    <w:rsid w:val="00BD0CA7"/>
    <w:rsid w:val="00BD1EFB"/>
    <w:rsid w:val="00BD223A"/>
    <w:rsid w:val="00BD57C8"/>
    <w:rsid w:val="00BD5879"/>
    <w:rsid w:val="00BD5A0C"/>
    <w:rsid w:val="00BD5B58"/>
    <w:rsid w:val="00BD73F1"/>
    <w:rsid w:val="00BE0E15"/>
    <w:rsid w:val="00BE3D8C"/>
    <w:rsid w:val="00BE4D14"/>
    <w:rsid w:val="00BE5CF2"/>
    <w:rsid w:val="00BE72E5"/>
    <w:rsid w:val="00BF067E"/>
    <w:rsid w:val="00BF22E7"/>
    <w:rsid w:val="00BF2883"/>
    <w:rsid w:val="00BF63CC"/>
    <w:rsid w:val="00BF6A00"/>
    <w:rsid w:val="00BF6FA9"/>
    <w:rsid w:val="00BF7497"/>
    <w:rsid w:val="00BF7C90"/>
    <w:rsid w:val="00C000AC"/>
    <w:rsid w:val="00C00429"/>
    <w:rsid w:val="00C02033"/>
    <w:rsid w:val="00C05FD9"/>
    <w:rsid w:val="00C06BBC"/>
    <w:rsid w:val="00C06C54"/>
    <w:rsid w:val="00C07949"/>
    <w:rsid w:val="00C105ED"/>
    <w:rsid w:val="00C109F0"/>
    <w:rsid w:val="00C11925"/>
    <w:rsid w:val="00C120C1"/>
    <w:rsid w:val="00C13AC2"/>
    <w:rsid w:val="00C16BE6"/>
    <w:rsid w:val="00C20BEA"/>
    <w:rsid w:val="00C21E38"/>
    <w:rsid w:val="00C241D4"/>
    <w:rsid w:val="00C2433C"/>
    <w:rsid w:val="00C24C84"/>
    <w:rsid w:val="00C24D43"/>
    <w:rsid w:val="00C24F5B"/>
    <w:rsid w:val="00C250E8"/>
    <w:rsid w:val="00C26014"/>
    <w:rsid w:val="00C264F8"/>
    <w:rsid w:val="00C27D23"/>
    <w:rsid w:val="00C31313"/>
    <w:rsid w:val="00C32874"/>
    <w:rsid w:val="00C33E7B"/>
    <w:rsid w:val="00C37286"/>
    <w:rsid w:val="00C41668"/>
    <w:rsid w:val="00C4206E"/>
    <w:rsid w:val="00C431FA"/>
    <w:rsid w:val="00C43488"/>
    <w:rsid w:val="00C44F7A"/>
    <w:rsid w:val="00C452D9"/>
    <w:rsid w:val="00C45666"/>
    <w:rsid w:val="00C47754"/>
    <w:rsid w:val="00C47D30"/>
    <w:rsid w:val="00C500E2"/>
    <w:rsid w:val="00C5024B"/>
    <w:rsid w:val="00C54452"/>
    <w:rsid w:val="00C557BA"/>
    <w:rsid w:val="00C56774"/>
    <w:rsid w:val="00C5784C"/>
    <w:rsid w:val="00C600E8"/>
    <w:rsid w:val="00C62ECF"/>
    <w:rsid w:val="00C64618"/>
    <w:rsid w:val="00C70D0F"/>
    <w:rsid w:val="00C7219E"/>
    <w:rsid w:val="00C72DAA"/>
    <w:rsid w:val="00C745D1"/>
    <w:rsid w:val="00C7758D"/>
    <w:rsid w:val="00C77777"/>
    <w:rsid w:val="00C82B5D"/>
    <w:rsid w:val="00C8318D"/>
    <w:rsid w:val="00C83387"/>
    <w:rsid w:val="00C83AA5"/>
    <w:rsid w:val="00C83C98"/>
    <w:rsid w:val="00C8761B"/>
    <w:rsid w:val="00C8762A"/>
    <w:rsid w:val="00C913FF"/>
    <w:rsid w:val="00C941AD"/>
    <w:rsid w:val="00C9639A"/>
    <w:rsid w:val="00C97DC8"/>
    <w:rsid w:val="00CA04A9"/>
    <w:rsid w:val="00CA424D"/>
    <w:rsid w:val="00CA4CBC"/>
    <w:rsid w:val="00CA6175"/>
    <w:rsid w:val="00CA6DB5"/>
    <w:rsid w:val="00CA74D2"/>
    <w:rsid w:val="00CA77AC"/>
    <w:rsid w:val="00CA7C5D"/>
    <w:rsid w:val="00CB089A"/>
    <w:rsid w:val="00CB0974"/>
    <w:rsid w:val="00CB4525"/>
    <w:rsid w:val="00CB4FB7"/>
    <w:rsid w:val="00CB5719"/>
    <w:rsid w:val="00CB596E"/>
    <w:rsid w:val="00CB6DEB"/>
    <w:rsid w:val="00CB72AF"/>
    <w:rsid w:val="00CB7359"/>
    <w:rsid w:val="00CC0133"/>
    <w:rsid w:val="00CC0B13"/>
    <w:rsid w:val="00CC0BE0"/>
    <w:rsid w:val="00CC18C3"/>
    <w:rsid w:val="00CC4530"/>
    <w:rsid w:val="00CC56BB"/>
    <w:rsid w:val="00CC63DD"/>
    <w:rsid w:val="00CC6CA7"/>
    <w:rsid w:val="00CD18B1"/>
    <w:rsid w:val="00CD1D5F"/>
    <w:rsid w:val="00CD28D1"/>
    <w:rsid w:val="00CD30D0"/>
    <w:rsid w:val="00CD54A9"/>
    <w:rsid w:val="00CE124A"/>
    <w:rsid w:val="00CE2A97"/>
    <w:rsid w:val="00CE370A"/>
    <w:rsid w:val="00CE45DD"/>
    <w:rsid w:val="00CE4D2A"/>
    <w:rsid w:val="00CF0155"/>
    <w:rsid w:val="00CF15DB"/>
    <w:rsid w:val="00CF2C23"/>
    <w:rsid w:val="00CF2EC3"/>
    <w:rsid w:val="00CF3927"/>
    <w:rsid w:val="00CF39E9"/>
    <w:rsid w:val="00CF44B0"/>
    <w:rsid w:val="00CF4C62"/>
    <w:rsid w:val="00CF4DED"/>
    <w:rsid w:val="00CF79CE"/>
    <w:rsid w:val="00D0502F"/>
    <w:rsid w:val="00D0697C"/>
    <w:rsid w:val="00D07F62"/>
    <w:rsid w:val="00D10B90"/>
    <w:rsid w:val="00D113F1"/>
    <w:rsid w:val="00D118DA"/>
    <w:rsid w:val="00D12387"/>
    <w:rsid w:val="00D12577"/>
    <w:rsid w:val="00D13663"/>
    <w:rsid w:val="00D13E3F"/>
    <w:rsid w:val="00D149A1"/>
    <w:rsid w:val="00D17B15"/>
    <w:rsid w:val="00D20884"/>
    <w:rsid w:val="00D20D3E"/>
    <w:rsid w:val="00D22687"/>
    <w:rsid w:val="00D25C07"/>
    <w:rsid w:val="00D260E2"/>
    <w:rsid w:val="00D26951"/>
    <w:rsid w:val="00D2779E"/>
    <w:rsid w:val="00D325C8"/>
    <w:rsid w:val="00D32759"/>
    <w:rsid w:val="00D340A4"/>
    <w:rsid w:val="00D340CA"/>
    <w:rsid w:val="00D34291"/>
    <w:rsid w:val="00D404D5"/>
    <w:rsid w:val="00D40A73"/>
    <w:rsid w:val="00D40EA0"/>
    <w:rsid w:val="00D4240E"/>
    <w:rsid w:val="00D42F1B"/>
    <w:rsid w:val="00D4392D"/>
    <w:rsid w:val="00D45F62"/>
    <w:rsid w:val="00D5110F"/>
    <w:rsid w:val="00D513E0"/>
    <w:rsid w:val="00D5168F"/>
    <w:rsid w:val="00D524BC"/>
    <w:rsid w:val="00D546FB"/>
    <w:rsid w:val="00D6135D"/>
    <w:rsid w:val="00D61844"/>
    <w:rsid w:val="00D61AA5"/>
    <w:rsid w:val="00D652FC"/>
    <w:rsid w:val="00D71699"/>
    <w:rsid w:val="00D73493"/>
    <w:rsid w:val="00D74098"/>
    <w:rsid w:val="00D74264"/>
    <w:rsid w:val="00D749C9"/>
    <w:rsid w:val="00D74DEF"/>
    <w:rsid w:val="00D777C4"/>
    <w:rsid w:val="00D8102F"/>
    <w:rsid w:val="00D81C1F"/>
    <w:rsid w:val="00D83636"/>
    <w:rsid w:val="00D85F98"/>
    <w:rsid w:val="00D86455"/>
    <w:rsid w:val="00D869C3"/>
    <w:rsid w:val="00D905D5"/>
    <w:rsid w:val="00D91AE1"/>
    <w:rsid w:val="00DA4689"/>
    <w:rsid w:val="00DA474C"/>
    <w:rsid w:val="00DA4891"/>
    <w:rsid w:val="00DA4926"/>
    <w:rsid w:val="00DA6B7D"/>
    <w:rsid w:val="00DB02C0"/>
    <w:rsid w:val="00DB0357"/>
    <w:rsid w:val="00DB2227"/>
    <w:rsid w:val="00DB23F6"/>
    <w:rsid w:val="00DB284F"/>
    <w:rsid w:val="00DB5D01"/>
    <w:rsid w:val="00DB79E4"/>
    <w:rsid w:val="00DC06A4"/>
    <w:rsid w:val="00DC0ACA"/>
    <w:rsid w:val="00DC2BF8"/>
    <w:rsid w:val="00DC3459"/>
    <w:rsid w:val="00DC3B22"/>
    <w:rsid w:val="00DD26E3"/>
    <w:rsid w:val="00DD7636"/>
    <w:rsid w:val="00DE16CD"/>
    <w:rsid w:val="00DE32E5"/>
    <w:rsid w:val="00DE3605"/>
    <w:rsid w:val="00DE3946"/>
    <w:rsid w:val="00DE44DB"/>
    <w:rsid w:val="00DE4881"/>
    <w:rsid w:val="00DE5661"/>
    <w:rsid w:val="00DF09B1"/>
    <w:rsid w:val="00DF14B9"/>
    <w:rsid w:val="00DF26B2"/>
    <w:rsid w:val="00DF5762"/>
    <w:rsid w:val="00DF73C4"/>
    <w:rsid w:val="00E00BB7"/>
    <w:rsid w:val="00E0292B"/>
    <w:rsid w:val="00E0320C"/>
    <w:rsid w:val="00E03565"/>
    <w:rsid w:val="00E03DC4"/>
    <w:rsid w:val="00E042A9"/>
    <w:rsid w:val="00E05889"/>
    <w:rsid w:val="00E05FC9"/>
    <w:rsid w:val="00E06183"/>
    <w:rsid w:val="00E072D8"/>
    <w:rsid w:val="00E10832"/>
    <w:rsid w:val="00E10C0D"/>
    <w:rsid w:val="00E117C6"/>
    <w:rsid w:val="00E11F6A"/>
    <w:rsid w:val="00E12E6A"/>
    <w:rsid w:val="00E14666"/>
    <w:rsid w:val="00E14EC2"/>
    <w:rsid w:val="00E15A03"/>
    <w:rsid w:val="00E167E1"/>
    <w:rsid w:val="00E21E8C"/>
    <w:rsid w:val="00E228D6"/>
    <w:rsid w:val="00E250B5"/>
    <w:rsid w:val="00E2708D"/>
    <w:rsid w:val="00E270E6"/>
    <w:rsid w:val="00E2770A"/>
    <w:rsid w:val="00E33737"/>
    <w:rsid w:val="00E33CD1"/>
    <w:rsid w:val="00E40F6F"/>
    <w:rsid w:val="00E44250"/>
    <w:rsid w:val="00E47E96"/>
    <w:rsid w:val="00E53631"/>
    <w:rsid w:val="00E5420C"/>
    <w:rsid w:val="00E56339"/>
    <w:rsid w:val="00E56ECC"/>
    <w:rsid w:val="00E572EF"/>
    <w:rsid w:val="00E57FEE"/>
    <w:rsid w:val="00E629C3"/>
    <w:rsid w:val="00E63001"/>
    <w:rsid w:val="00E667B4"/>
    <w:rsid w:val="00E715FD"/>
    <w:rsid w:val="00E71601"/>
    <w:rsid w:val="00E71F11"/>
    <w:rsid w:val="00E729F5"/>
    <w:rsid w:val="00E736B3"/>
    <w:rsid w:val="00E73C8D"/>
    <w:rsid w:val="00E758D8"/>
    <w:rsid w:val="00E76BE0"/>
    <w:rsid w:val="00E7728D"/>
    <w:rsid w:val="00E7795C"/>
    <w:rsid w:val="00E77F48"/>
    <w:rsid w:val="00E83C37"/>
    <w:rsid w:val="00E87B8E"/>
    <w:rsid w:val="00E900D1"/>
    <w:rsid w:val="00E90673"/>
    <w:rsid w:val="00E92149"/>
    <w:rsid w:val="00E926EA"/>
    <w:rsid w:val="00E932CE"/>
    <w:rsid w:val="00E9330B"/>
    <w:rsid w:val="00E937F2"/>
    <w:rsid w:val="00E96BC6"/>
    <w:rsid w:val="00E976C6"/>
    <w:rsid w:val="00EA00F3"/>
    <w:rsid w:val="00EA07A3"/>
    <w:rsid w:val="00EA1938"/>
    <w:rsid w:val="00EA3A4B"/>
    <w:rsid w:val="00EA4F03"/>
    <w:rsid w:val="00EA6C48"/>
    <w:rsid w:val="00EA71E1"/>
    <w:rsid w:val="00EB0AE8"/>
    <w:rsid w:val="00EB26CD"/>
    <w:rsid w:val="00EB3306"/>
    <w:rsid w:val="00EB3FB0"/>
    <w:rsid w:val="00EB4C4B"/>
    <w:rsid w:val="00EB5A09"/>
    <w:rsid w:val="00EB5B49"/>
    <w:rsid w:val="00EB6DDD"/>
    <w:rsid w:val="00EB6E94"/>
    <w:rsid w:val="00EC1C37"/>
    <w:rsid w:val="00EC4220"/>
    <w:rsid w:val="00EC4A33"/>
    <w:rsid w:val="00EC4A87"/>
    <w:rsid w:val="00EC6271"/>
    <w:rsid w:val="00EC7556"/>
    <w:rsid w:val="00EC7A99"/>
    <w:rsid w:val="00ED086D"/>
    <w:rsid w:val="00ED0F0B"/>
    <w:rsid w:val="00ED2EBC"/>
    <w:rsid w:val="00ED4755"/>
    <w:rsid w:val="00ED584C"/>
    <w:rsid w:val="00ED7431"/>
    <w:rsid w:val="00EE2179"/>
    <w:rsid w:val="00EE2381"/>
    <w:rsid w:val="00EE3BFD"/>
    <w:rsid w:val="00EE5A58"/>
    <w:rsid w:val="00EE64AA"/>
    <w:rsid w:val="00EE77EC"/>
    <w:rsid w:val="00EF0CFD"/>
    <w:rsid w:val="00EF0E9B"/>
    <w:rsid w:val="00EF1BA6"/>
    <w:rsid w:val="00EF4866"/>
    <w:rsid w:val="00EF6708"/>
    <w:rsid w:val="00EF6DD7"/>
    <w:rsid w:val="00EF754F"/>
    <w:rsid w:val="00F004E9"/>
    <w:rsid w:val="00F010EE"/>
    <w:rsid w:val="00F0467A"/>
    <w:rsid w:val="00F0649C"/>
    <w:rsid w:val="00F07952"/>
    <w:rsid w:val="00F20E61"/>
    <w:rsid w:val="00F2303B"/>
    <w:rsid w:val="00F238B5"/>
    <w:rsid w:val="00F257D4"/>
    <w:rsid w:val="00F25A44"/>
    <w:rsid w:val="00F26811"/>
    <w:rsid w:val="00F26C08"/>
    <w:rsid w:val="00F336CC"/>
    <w:rsid w:val="00F33EFF"/>
    <w:rsid w:val="00F34FD9"/>
    <w:rsid w:val="00F36121"/>
    <w:rsid w:val="00F36EA1"/>
    <w:rsid w:val="00F3743A"/>
    <w:rsid w:val="00F37FA5"/>
    <w:rsid w:val="00F40265"/>
    <w:rsid w:val="00F42DF2"/>
    <w:rsid w:val="00F44415"/>
    <w:rsid w:val="00F44691"/>
    <w:rsid w:val="00F448CA"/>
    <w:rsid w:val="00F45123"/>
    <w:rsid w:val="00F4578F"/>
    <w:rsid w:val="00F46149"/>
    <w:rsid w:val="00F46952"/>
    <w:rsid w:val="00F50086"/>
    <w:rsid w:val="00F52603"/>
    <w:rsid w:val="00F52760"/>
    <w:rsid w:val="00F52E2D"/>
    <w:rsid w:val="00F608C1"/>
    <w:rsid w:val="00F60A53"/>
    <w:rsid w:val="00F61230"/>
    <w:rsid w:val="00F62F45"/>
    <w:rsid w:val="00F6309B"/>
    <w:rsid w:val="00F64615"/>
    <w:rsid w:val="00F65669"/>
    <w:rsid w:val="00F65E67"/>
    <w:rsid w:val="00F701B3"/>
    <w:rsid w:val="00F7123B"/>
    <w:rsid w:val="00F71993"/>
    <w:rsid w:val="00F72BBB"/>
    <w:rsid w:val="00F735E8"/>
    <w:rsid w:val="00F739F2"/>
    <w:rsid w:val="00F73CCF"/>
    <w:rsid w:val="00F74FE5"/>
    <w:rsid w:val="00F750B6"/>
    <w:rsid w:val="00F76B07"/>
    <w:rsid w:val="00F80AE3"/>
    <w:rsid w:val="00F8360A"/>
    <w:rsid w:val="00F849DF"/>
    <w:rsid w:val="00F8600D"/>
    <w:rsid w:val="00F91D8A"/>
    <w:rsid w:val="00F93915"/>
    <w:rsid w:val="00F94304"/>
    <w:rsid w:val="00F943F5"/>
    <w:rsid w:val="00F94501"/>
    <w:rsid w:val="00F94AF9"/>
    <w:rsid w:val="00F94F1B"/>
    <w:rsid w:val="00F957AF"/>
    <w:rsid w:val="00F96174"/>
    <w:rsid w:val="00FA08E4"/>
    <w:rsid w:val="00FA2515"/>
    <w:rsid w:val="00FA269B"/>
    <w:rsid w:val="00FA340A"/>
    <w:rsid w:val="00FA4F9B"/>
    <w:rsid w:val="00FA5DAA"/>
    <w:rsid w:val="00FA710D"/>
    <w:rsid w:val="00FB0D18"/>
    <w:rsid w:val="00FB0D71"/>
    <w:rsid w:val="00FB1517"/>
    <w:rsid w:val="00FB390F"/>
    <w:rsid w:val="00FB4712"/>
    <w:rsid w:val="00FB582F"/>
    <w:rsid w:val="00FB6B5D"/>
    <w:rsid w:val="00FC082C"/>
    <w:rsid w:val="00FC2426"/>
    <w:rsid w:val="00FC3210"/>
    <w:rsid w:val="00FC3827"/>
    <w:rsid w:val="00FC3AF0"/>
    <w:rsid w:val="00FC3BFD"/>
    <w:rsid w:val="00FC4B9F"/>
    <w:rsid w:val="00FC4DD0"/>
    <w:rsid w:val="00FC6110"/>
    <w:rsid w:val="00FC6196"/>
    <w:rsid w:val="00FC654F"/>
    <w:rsid w:val="00FC77AF"/>
    <w:rsid w:val="00FC79C6"/>
    <w:rsid w:val="00FD00C2"/>
    <w:rsid w:val="00FD1226"/>
    <w:rsid w:val="00FD620B"/>
    <w:rsid w:val="00FD6B02"/>
    <w:rsid w:val="00FE0B7F"/>
    <w:rsid w:val="00FE0F32"/>
    <w:rsid w:val="00FE11DF"/>
    <w:rsid w:val="00FE2E9C"/>
    <w:rsid w:val="00FE62AA"/>
    <w:rsid w:val="00FF047B"/>
    <w:rsid w:val="00FF2F1A"/>
    <w:rsid w:val="00FF2FB9"/>
    <w:rsid w:val="00FF364F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EA60E4"/>
  <w15:docId w15:val="{594DD133-0B83-4D94-8880-F04E7D7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6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6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6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6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6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22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0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1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1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6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6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6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uiPriority w:val="39"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7"/>
      </w:numPr>
    </w:pPr>
  </w:style>
  <w:style w:type="numbering" w:styleId="1ai">
    <w:name w:val="Outline List 1"/>
    <w:basedOn w:val="Bezseznamu"/>
    <w:semiHidden/>
    <w:rsid w:val="00794E4C"/>
    <w:pPr>
      <w:numPr>
        <w:numId w:val="8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9"/>
      </w:numPr>
    </w:pPr>
  </w:style>
  <w:style w:type="paragraph" w:styleId="slovanseznam2">
    <w:name w:val="List Number 2"/>
    <w:basedOn w:val="Normln"/>
    <w:semiHidden/>
    <w:rsid w:val="00794E4C"/>
    <w:pPr>
      <w:numPr>
        <w:numId w:val="10"/>
      </w:numPr>
    </w:pPr>
  </w:style>
  <w:style w:type="paragraph" w:styleId="slovanseznam3">
    <w:name w:val="List Number 3"/>
    <w:basedOn w:val="Normln"/>
    <w:semiHidden/>
    <w:rsid w:val="00794E4C"/>
    <w:pPr>
      <w:numPr>
        <w:numId w:val="11"/>
      </w:numPr>
    </w:pPr>
  </w:style>
  <w:style w:type="paragraph" w:styleId="slovanseznam4">
    <w:name w:val="List Number 4"/>
    <w:basedOn w:val="Normln"/>
    <w:semiHidden/>
    <w:rsid w:val="00794E4C"/>
    <w:pPr>
      <w:numPr>
        <w:numId w:val="12"/>
      </w:numPr>
    </w:pPr>
  </w:style>
  <w:style w:type="paragraph" w:styleId="slovanseznam5">
    <w:name w:val="List Number 5"/>
    <w:basedOn w:val="Normln"/>
    <w:semiHidden/>
    <w:rsid w:val="00794E4C"/>
    <w:pPr>
      <w:numPr>
        <w:numId w:val="13"/>
      </w:numPr>
    </w:pPr>
  </w:style>
  <w:style w:type="numbering" w:styleId="lnekoddl">
    <w:name w:val="Outline List 3"/>
    <w:basedOn w:val="Bezseznamu"/>
    <w:semiHidden/>
    <w:rsid w:val="00794E4C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styleId="Hypertextovodkaz">
    <w:name w:val="Hyperlink"/>
    <w:uiPriority w:val="99"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link w:val="NzevChar"/>
    <w:uiPriority w:val="10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nadpis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5"/>
      </w:numPr>
    </w:pPr>
  </w:style>
  <w:style w:type="paragraph" w:styleId="Seznamsodrkami2">
    <w:name w:val="List Bullet 2"/>
    <w:basedOn w:val="Normln"/>
    <w:semiHidden/>
    <w:rsid w:val="00794E4C"/>
    <w:pPr>
      <w:numPr>
        <w:numId w:val="16"/>
      </w:numPr>
    </w:pPr>
  </w:style>
  <w:style w:type="paragraph" w:styleId="Seznamsodrkami3">
    <w:name w:val="List Bullet 3"/>
    <w:basedOn w:val="Normln"/>
    <w:semiHidden/>
    <w:rsid w:val="00794E4C"/>
    <w:pPr>
      <w:numPr>
        <w:numId w:val="17"/>
      </w:numPr>
    </w:pPr>
  </w:style>
  <w:style w:type="paragraph" w:styleId="Seznamsodrkami4">
    <w:name w:val="List Bullet 4"/>
    <w:basedOn w:val="Normln"/>
    <w:semiHidden/>
    <w:rsid w:val="00794E4C"/>
    <w:pPr>
      <w:numPr>
        <w:numId w:val="18"/>
      </w:numPr>
    </w:pPr>
  </w:style>
  <w:style w:type="paragraph" w:styleId="Seznamsodrkami5">
    <w:name w:val="List Bullet 5"/>
    <w:basedOn w:val="Normln"/>
    <w:semiHidden/>
    <w:rsid w:val="00794E4C"/>
    <w:pPr>
      <w:numPr>
        <w:numId w:val="19"/>
      </w:numPr>
    </w:pPr>
  </w:style>
  <w:style w:type="character" w:styleId="Siln">
    <w:name w:val="Strong"/>
    <w:uiPriority w:val="22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6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1">
    <w:name w:val="Nevyřešená zmínka1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aliases w:val="List Level 1,PRI Bullets,Bullet Paragraph,References,маркированный,Main numbered paragraph,Question"/>
    <w:basedOn w:val="Normln"/>
    <w:link w:val="OdstavecseseznamemChar"/>
    <w:uiPriority w:val="34"/>
    <w:qFormat/>
    <w:rsid w:val="00B93072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7238DA"/>
    <w:rPr>
      <w:rFonts w:ascii="Arial" w:hAnsi="Arial" w:cs="Arial"/>
      <w:b/>
      <w:bCs/>
      <w:kern w:val="28"/>
      <w:sz w:val="32"/>
      <w:szCs w:val="32"/>
    </w:rPr>
  </w:style>
  <w:style w:type="paragraph" w:styleId="Revize">
    <w:name w:val="Revision"/>
    <w:hidden/>
    <w:uiPriority w:val="99"/>
    <w:semiHidden/>
    <w:rsid w:val="00DE5661"/>
    <w:rPr>
      <w:rFonts w:ascii="Arial" w:hAnsi="Arial" w:cs="Aria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31E52"/>
    <w:rPr>
      <w:color w:val="605E5C"/>
      <w:shd w:val="clear" w:color="auto" w:fill="E1DFDD"/>
    </w:rPr>
  </w:style>
  <w:style w:type="paragraph" w:customStyle="1" w:styleId="FIL3Body">
    <w:name w:val="FIL_3_Body"/>
    <w:basedOn w:val="Normln"/>
    <w:qFormat/>
    <w:rsid w:val="00611687"/>
    <w:pPr>
      <w:spacing w:before="45" w:after="120" w:line="276" w:lineRule="auto"/>
      <w:jc w:val="left"/>
    </w:pPr>
    <w:rPr>
      <w:rFonts w:cs="Times New Roman"/>
      <w:color w:val="555555"/>
      <w:sz w:val="18"/>
      <w:szCs w:val="24"/>
      <w:lang w:val="en-GB" w:eastAsia="en-GB"/>
    </w:rPr>
  </w:style>
  <w:style w:type="paragraph" w:customStyle="1" w:styleId="f2-zkladn0">
    <w:name w:val="f2-zkladn"/>
    <w:basedOn w:val="Normln"/>
    <w:rsid w:val="00D404D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body-l">
    <w:name w:val="body-l"/>
    <w:basedOn w:val="Normln"/>
    <w:rsid w:val="0057387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6B6F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CN"/>
    </w:rPr>
  </w:style>
  <w:style w:type="character" w:customStyle="1" w:styleId="normaltextrun">
    <w:name w:val="normaltextrun"/>
    <w:basedOn w:val="Standardnpsmoodstavce"/>
    <w:rsid w:val="006B6F61"/>
  </w:style>
  <w:style w:type="character" w:customStyle="1" w:styleId="eop">
    <w:name w:val="eop"/>
    <w:basedOn w:val="Standardnpsmoodstavce"/>
    <w:rsid w:val="006B6F61"/>
  </w:style>
  <w:style w:type="paragraph" w:customStyle="1" w:styleId="xmsonormal">
    <w:name w:val="x_msonormal"/>
    <w:basedOn w:val="Normln"/>
    <w:rsid w:val="00A82114"/>
    <w:pPr>
      <w:spacing w:before="0" w:line="240" w:lineRule="auto"/>
      <w:jc w:val="left"/>
    </w:pPr>
    <w:rPr>
      <w:rFonts w:ascii="Calibri" w:eastAsia="Gulim" w:hAnsi="Calibri" w:cs="Calibri"/>
      <w:sz w:val="22"/>
      <w:szCs w:val="22"/>
      <w:lang w:val="en-GB" w:eastAsia="ko-KR"/>
    </w:rPr>
  </w:style>
  <w:style w:type="character" w:customStyle="1" w:styleId="OdstavecseseznamemChar">
    <w:name w:val="Odstavec se seznamem Char"/>
    <w:aliases w:val="List Level 1 Char,PRI Bullets Char,Bullet Paragraph Char,References Char,маркированный Char,Main numbered paragraph Char,Question Char"/>
    <w:link w:val="Odstavecseseznamem"/>
    <w:uiPriority w:val="34"/>
    <w:locked/>
    <w:rsid w:val="00A82114"/>
    <w:rPr>
      <w:rFonts w:ascii="Arial" w:hAnsi="Arial" w:cs="Arial"/>
    </w:rPr>
  </w:style>
  <w:style w:type="character" w:customStyle="1" w:styleId="ui-provider">
    <w:name w:val="ui-provider"/>
    <w:basedOn w:val="Standardnpsmoodstavce"/>
    <w:rsid w:val="00EB5B49"/>
  </w:style>
  <w:style w:type="character" w:styleId="Nevyeenzmnka">
    <w:name w:val="Unresolved Mention"/>
    <w:basedOn w:val="Standardnpsmoodstavce"/>
    <w:uiPriority w:val="99"/>
    <w:semiHidden/>
    <w:unhideWhenUsed/>
    <w:rsid w:val="00AB7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delity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ska.krohova@crestco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A9842DBA47FB4F97EE05D15FAAB50A" ma:contentTypeVersion="4" ma:contentTypeDescription="Vytvoří nový dokument" ma:contentTypeScope="" ma:versionID="6f9644b4e43d6333fe68447961a283bf">
  <xsd:schema xmlns:xsd="http://www.w3.org/2001/XMLSchema" xmlns:xs="http://www.w3.org/2001/XMLSchema" xmlns:p="http://schemas.microsoft.com/office/2006/metadata/properties" xmlns:ns3="582c5473-2b97-4cd0-ba19-d66cd0f46ac6" targetNamespace="http://schemas.microsoft.com/office/2006/metadata/properties" ma:root="true" ma:fieldsID="52da21f40bf929f7e4944f73f6eb16e5" ns3:_="">
    <xsd:import namespace="582c5473-2b97-4cd0-ba19-d66cd0f46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5473-2b97-4cd0-ba19-d66cd0f4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2c5473-2b97-4cd0-ba19-d66cd0f46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AA92-9CB9-4BF8-B360-F6AABA4F8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c5473-2b97-4cd0-ba19-d66cd0f4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63A9B-5F35-4DB3-B406-110DCFBB6C4E}">
  <ds:schemaRefs>
    <ds:schemaRef ds:uri="http://schemas.microsoft.com/office/2006/metadata/properties"/>
    <ds:schemaRef ds:uri="http://schemas.microsoft.com/office/infopath/2007/PartnerControls"/>
    <ds:schemaRef ds:uri="582c5473-2b97-4cd0-ba19-d66cd0f46ac6"/>
  </ds:schemaRefs>
</ds:datastoreItem>
</file>

<file path=customXml/itemProps3.xml><?xml version="1.0" encoding="utf-8"?>
<ds:datastoreItem xmlns:ds="http://schemas.openxmlformats.org/officeDocument/2006/customXml" ds:itemID="{6FF2901F-9299-4A9A-817D-EAA7280AD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E59371-464E-462D-AA79-EE807350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2801</Words>
  <Characters>16532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TPA-NOTIA, s.r.o.</Company>
  <LinksUpToDate>false</LinksUpToDate>
  <CharactersWithSpaces>19295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Gabriela Hampejsová</cp:lastModifiedBy>
  <cp:revision>4</cp:revision>
  <cp:lastPrinted>2015-11-30T16:29:00Z</cp:lastPrinted>
  <dcterms:created xsi:type="dcterms:W3CDTF">2024-01-16T13:35:00Z</dcterms:created>
  <dcterms:modified xsi:type="dcterms:W3CDTF">2024-01-16T13:39:00Z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0x0101004DA9842DBA47FB4F97EE05D15FAAB50A</vt:lpwstr>
  </property>
  <property fmtid="{D5CDD505-2E9C-101B-9397-08002B2CF9AE}" pid="3" name="MSIP_Label_be873328-34e0-4f6c-84cb-dd757c63c1a0_Enabled">
    <vt:lpwstr>true</vt:lpwstr>
  </property>
  <property fmtid="{D5CDD505-2E9C-101B-9397-08002B2CF9AE}" pid="4" name="MSIP_Label_be873328-34e0-4f6c-84cb-dd757c63c1a0_SetDate">
    <vt:lpwstr>2023-03-20T14:00:05Z</vt:lpwstr>
  </property>
  <property fmtid="{D5CDD505-2E9C-101B-9397-08002B2CF9AE}" pid="5" name="MSIP_Label_be873328-34e0-4f6c-84cb-dd757c63c1a0_Method">
    <vt:lpwstr>Privileged</vt:lpwstr>
  </property>
  <property fmtid="{D5CDD505-2E9C-101B-9397-08002B2CF9AE}" pid="6" name="MSIP_Label_be873328-34e0-4f6c-84cb-dd757c63c1a0_Name">
    <vt:lpwstr>FIL-Internal</vt:lpwstr>
  </property>
  <property fmtid="{D5CDD505-2E9C-101B-9397-08002B2CF9AE}" pid="7" name="MSIP_Label_be873328-34e0-4f6c-84cb-dd757c63c1a0_SiteId">
    <vt:lpwstr>6b94db52-3791-432c-b97e-871411cd202e</vt:lpwstr>
  </property>
  <property fmtid="{D5CDD505-2E9C-101B-9397-08002B2CF9AE}" pid="8" name="MSIP_Label_be873328-34e0-4f6c-84cb-dd757c63c1a0_ActionId">
    <vt:lpwstr>8add6277-4d5f-4a76-983e-75d9da0c44e6</vt:lpwstr>
  </property>
  <property fmtid="{D5CDD505-2E9C-101B-9397-08002B2CF9AE}" pid="9" name="MSIP_Label_be873328-34e0-4f6c-84cb-dd757c63c1a0_ContentBits">
    <vt:lpwstr>0</vt:lpwstr>
  </property>
</Properties>
</file>